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  <w:gridCol w:w="4536"/>
      </w:tblGrid>
      <w:tr w:rsidR="00523D82" w:rsidRPr="00B56C94" w14:paraId="0575A36B" w14:textId="77777777" w:rsidTr="00D25CB4">
        <w:tc>
          <w:tcPr>
            <w:tcW w:w="4786" w:type="dxa"/>
            <w:hideMark/>
          </w:tcPr>
          <w:p w14:paraId="42664854" w14:textId="77777777" w:rsidR="007E1D85" w:rsidRPr="00B56C94" w:rsidRDefault="007E1D85" w:rsidP="005F450A">
            <w:pPr>
              <w:widowControl w:val="0"/>
              <w:spacing w:after="0" w:line="240" w:lineRule="auto"/>
              <w:ind w:hanging="142"/>
              <w:rPr>
                <w:rFonts w:ascii="Times New Roman" w:eastAsia="Batang" w:hAnsi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4536" w:type="dxa"/>
            <w:hideMark/>
          </w:tcPr>
          <w:p w14:paraId="68F1A025" w14:textId="77777777" w:rsidR="00523D82" w:rsidRPr="00B56C94" w:rsidRDefault="00523D82" w:rsidP="005F45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B56C9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УТВЕРЖДЕНА</w:t>
            </w:r>
          </w:p>
          <w:p w14:paraId="18999F49" w14:textId="77777777" w:rsidR="00653617" w:rsidRPr="00B56C94" w:rsidRDefault="00523D82" w:rsidP="005F4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Приказом </w:t>
            </w:r>
            <w:r w:rsidR="004C462F" w:rsidRPr="00B56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B56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редседателя </w:t>
            </w:r>
          </w:p>
          <w:p w14:paraId="58805FF3" w14:textId="77777777" w:rsidR="00523D82" w:rsidRPr="00B56C94" w:rsidRDefault="00264A6E" w:rsidP="005F4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РГУ «</w:t>
            </w:r>
            <w:r w:rsidR="00523D82" w:rsidRPr="00B56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</w:t>
            </w:r>
            <w:r w:rsidR="00150718" w:rsidRPr="00150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медицинского и фармацевтического контроля</w:t>
            </w:r>
          </w:p>
          <w:p w14:paraId="4FEDE277" w14:textId="77777777" w:rsidR="00523D82" w:rsidRPr="00B56C94" w:rsidRDefault="00523D82" w:rsidP="005F450A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B56C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Министерства здравоохранения</w:t>
            </w:r>
            <w:r w:rsidRPr="00B56C94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14:paraId="7415CC5D" w14:textId="77777777" w:rsidR="00523D82" w:rsidRPr="00B56C94" w:rsidRDefault="00523D82" w:rsidP="005F450A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6C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Республики Казахстан</w:t>
            </w:r>
            <w:r w:rsidR="00264A6E" w:rsidRPr="00B56C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14:paraId="034E0386" w14:textId="44DDD859" w:rsidR="00523D82" w:rsidRPr="00B56C94" w:rsidRDefault="00523D82" w:rsidP="005F45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</w:t>
            </w:r>
            <w:r w:rsidR="001E28A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21</w:t>
            </w:r>
            <w:r w:rsidRPr="00B56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1E28A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02   </w:t>
            </w:r>
            <w:r w:rsidRPr="00B56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1E28A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22 </w:t>
            </w:r>
            <w:r w:rsidRPr="00B56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  <w:p w14:paraId="62E9E958" w14:textId="07C755F4" w:rsidR="00523D82" w:rsidRPr="001E28AC" w:rsidRDefault="00523D82" w:rsidP="005F450A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4"/>
                <w:szCs w:val="24"/>
                <w:lang w:val="en-US" w:eastAsia="ru-RU"/>
              </w:rPr>
            </w:pPr>
            <w:r w:rsidRPr="00B56C9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№</w:t>
            </w:r>
            <w:r w:rsidR="001E28AC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US" w:eastAsia="ru-RU"/>
              </w:rPr>
              <w:t>N047168</w:t>
            </w:r>
          </w:p>
        </w:tc>
        <w:tc>
          <w:tcPr>
            <w:tcW w:w="4536" w:type="dxa"/>
          </w:tcPr>
          <w:p w14:paraId="42A9C19E" w14:textId="77777777" w:rsidR="00523D82" w:rsidRPr="00B56C94" w:rsidRDefault="00D46B0B" w:rsidP="005F45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B56C9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D82" w:rsidRPr="00B56C94" w14:paraId="7FAAAE83" w14:textId="77777777" w:rsidTr="00D25CB4">
        <w:tc>
          <w:tcPr>
            <w:tcW w:w="4786" w:type="dxa"/>
          </w:tcPr>
          <w:p w14:paraId="0D0AEB42" w14:textId="77777777" w:rsidR="00523D82" w:rsidRPr="00B56C94" w:rsidRDefault="00523D82" w:rsidP="005F450A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76EFFCF8" w14:textId="77777777" w:rsidR="00523D82" w:rsidRPr="00B56C94" w:rsidRDefault="00523D82" w:rsidP="005F450A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6FC8A68F" w14:textId="77777777" w:rsidR="00523D82" w:rsidRPr="00B56C94" w:rsidRDefault="00523D82" w:rsidP="005F45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</w:tr>
    </w:tbl>
    <w:p w14:paraId="51F5CD74" w14:textId="77777777" w:rsidR="00280121" w:rsidRPr="00B56C94" w:rsidRDefault="00280121" w:rsidP="005F450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DD7AA57" w14:textId="77777777" w:rsidR="00D76048" w:rsidRPr="00B56C94" w:rsidRDefault="00506C9D" w:rsidP="005F450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ЛЕКАРСТВЕННОГО ПРЕПАРАТА</w:t>
      </w:r>
    </w:p>
    <w:p w14:paraId="35AEA538" w14:textId="77777777" w:rsidR="00372082" w:rsidRPr="00B56C94" w:rsidRDefault="00372082" w:rsidP="005F45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805387A" w14:textId="77777777" w:rsidR="00280121" w:rsidRPr="00B56C94" w:rsidRDefault="00DB406A" w:rsidP="005F45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280121"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ЛЕКАРСТВЕННОГО ПРЕПАРАТА</w:t>
      </w:r>
    </w:p>
    <w:p w14:paraId="4B545FB6" w14:textId="77777777" w:rsidR="00D76048" w:rsidRPr="00B56C94" w:rsidRDefault="00197FCC" w:rsidP="005F45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7FCC">
        <w:rPr>
          <w:rFonts w:ascii="Times New Roman" w:eastAsia="Times New Roman" w:hAnsi="Times New Roman"/>
          <w:sz w:val="24"/>
          <w:szCs w:val="24"/>
          <w:lang w:eastAsia="ru-RU"/>
        </w:rPr>
        <w:t>Севкар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400 мг или 800 мг, т</w:t>
      </w:r>
      <w:r w:rsidRPr="00197FCC">
        <w:rPr>
          <w:rFonts w:ascii="Times New Roman" w:eastAsia="Times New Roman" w:hAnsi="Times New Roman"/>
          <w:sz w:val="24"/>
          <w:szCs w:val="24"/>
          <w:lang w:eastAsia="ru-RU"/>
        </w:rPr>
        <w:t>аблетки, покрытые пленочной оболочкой</w:t>
      </w:r>
    </w:p>
    <w:p w14:paraId="7EE89637" w14:textId="77777777" w:rsidR="00B01011" w:rsidRPr="00B56C94" w:rsidRDefault="00B01011" w:rsidP="005F45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cyan"/>
          <w:lang w:eastAsia="ru-RU"/>
        </w:rPr>
      </w:pPr>
    </w:p>
    <w:p w14:paraId="3BD7B8A9" w14:textId="77777777" w:rsidR="003C07E3" w:rsidRPr="00B56C94" w:rsidRDefault="003C07E3" w:rsidP="005F4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2175220285"/>
      <w:bookmarkStart w:id="1" w:name="OCRUncertain022"/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280121"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КАЧЕСТВЕННЫЙ И КОЛИЧЕСТВЕННЫЙ СОСТАВ</w:t>
      </w:r>
    </w:p>
    <w:bookmarkEnd w:id="0"/>
    <w:p w14:paraId="5DD40ED3" w14:textId="77777777" w:rsidR="001872CE" w:rsidRPr="00B56C94" w:rsidRDefault="001872CE" w:rsidP="005F450A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Cs/>
          <w:sz w:val="24"/>
          <w:szCs w:val="24"/>
          <w:highlight w:val="cyan"/>
          <w:lang w:eastAsia="ru-RU"/>
        </w:rPr>
      </w:pPr>
      <w:r w:rsidRPr="00B56C94">
        <w:rPr>
          <w:rFonts w:ascii="Times New Roman" w:eastAsia="TimesNewRomanPSMT" w:hAnsi="Times New Roman"/>
          <w:sz w:val="24"/>
          <w:szCs w:val="24"/>
          <w:lang w:eastAsia="ru-RU"/>
        </w:rPr>
        <w:t>2.1 Общее описание</w:t>
      </w:r>
      <w:r w:rsidRPr="00B56C9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2B498FEB" w14:textId="77777777" w:rsidR="00D01002" w:rsidRDefault="00D01002" w:rsidP="005F450A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01002">
        <w:rPr>
          <w:rFonts w:ascii="Times New Roman" w:eastAsia="Times New Roman" w:hAnsi="Times New Roman"/>
          <w:bCs/>
          <w:sz w:val="24"/>
          <w:szCs w:val="24"/>
          <w:lang w:eastAsia="ru-RU"/>
        </w:rPr>
        <w:t>Севеламер</w:t>
      </w:r>
      <w:r w:rsidR="00B8154A">
        <w:rPr>
          <w:rFonts w:ascii="Times New Roman" w:eastAsia="Times New Roman" w:hAnsi="Times New Roman"/>
          <w:bCs/>
          <w:sz w:val="24"/>
          <w:szCs w:val="24"/>
          <w:lang w:eastAsia="ru-RU"/>
        </w:rPr>
        <w:t>а карбонат</w:t>
      </w:r>
    </w:p>
    <w:p w14:paraId="4022E6FD" w14:textId="77777777" w:rsidR="00D60C5A" w:rsidRPr="00B56C94" w:rsidRDefault="00D60C5A" w:rsidP="005F450A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B56C94">
        <w:rPr>
          <w:rFonts w:ascii="Times New Roman" w:eastAsia="TimesNewRomanPSMT" w:hAnsi="Times New Roman"/>
          <w:sz w:val="24"/>
          <w:szCs w:val="24"/>
          <w:lang w:eastAsia="ru-RU"/>
        </w:rPr>
        <w:t>2.2 Качественный и количественный состав</w:t>
      </w:r>
    </w:p>
    <w:p w14:paraId="16044FBB" w14:textId="77777777" w:rsidR="00A074C5" w:rsidRPr="00B56C94" w:rsidRDefault="00B04092" w:rsidP="005F45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Одна таблетка</w:t>
      </w:r>
      <w:r w:rsidR="00A074C5" w:rsidRPr="00B56C9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содержит </w:t>
      </w:r>
    </w:p>
    <w:p w14:paraId="3E7367EA" w14:textId="77777777" w:rsidR="00A074C5" w:rsidRPr="00B56C94" w:rsidRDefault="00A074C5" w:rsidP="005F45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56C9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активное вещество - </w:t>
      </w:r>
      <w:r w:rsidR="00B04092" w:rsidRPr="00656266">
        <w:rPr>
          <w:rFonts w:ascii="Times New Roman" w:eastAsia="Times New Roman" w:hAnsi="Times New Roman"/>
          <w:bCs/>
          <w:sz w:val="24"/>
          <w:szCs w:val="24"/>
          <w:lang w:eastAsia="ru-RU"/>
        </w:rPr>
        <w:t>севеламер</w:t>
      </w:r>
      <w:r w:rsidR="001C610D" w:rsidRPr="00656266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B04092" w:rsidRPr="006562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карбонат</w:t>
      </w:r>
      <w:r w:rsidR="00B0409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400 мг или 800 мг.</w:t>
      </w:r>
    </w:p>
    <w:p w14:paraId="6C665193" w14:textId="77777777" w:rsidR="005F450A" w:rsidRDefault="00D60C5A" w:rsidP="005F450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56C94">
        <w:rPr>
          <w:rFonts w:ascii="Times New Roman" w:hAnsi="Times New Roman"/>
          <w:iCs/>
          <w:sz w:val="24"/>
          <w:szCs w:val="24"/>
          <w:lang w:eastAsia="ru-RU"/>
        </w:rPr>
        <w:t>Вспомогательные вещества, наличие которых надо учитывать в составе лекарственного препарата</w:t>
      </w:r>
      <w:r w:rsidR="004A4E38">
        <w:rPr>
          <w:rFonts w:ascii="Times New Roman" w:hAnsi="Times New Roman"/>
          <w:iCs/>
          <w:sz w:val="24"/>
          <w:szCs w:val="24"/>
          <w:lang w:eastAsia="ru-RU"/>
        </w:rPr>
        <w:t>: м</w:t>
      </w:r>
      <w:r w:rsidR="004A4E38" w:rsidRPr="004A4E38">
        <w:rPr>
          <w:rFonts w:ascii="Times New Roman" w:hAnsi="Times New Roman"/>
          <w:iCs/>
          <w:sz w:val="24"/>
          <w:szCs w:val="24"/>
          <w:lang w:eastAsia="ru-RU"/>
        </w:rPr>
        <w:t>аннитол</w:t>
      </w:r>
      <w:r w:rsidR="003A6DC9">
        <w:rPr>
          <w:rFonts w:ascii="Times New Roman" w:hAnsi="Times New Roman"/>
          <w:iCs/>
          <w:sz w:val="24"/>
          <w:szCs w:val="24"/>
          <w:lang w:eastAsia="ru-RU"/>
        </w:rPr>
        <w:t xml:space="preserve"> 93</w:t>
      </w:r>
      <w:r w:rsidR="004A587B">
        <w:rPr>
          <w:rFonts w:ascii="Times New Roman" w:hAnsi="Times New Roman"/>
          <w:iCs/>
          <w:sz w:val="24"/>
          <w:szCs w:val="24"/>
          <w:lang w:eastAsia="ru-RU"/>
        </w:rPr>
        <w:t>.112 мг или 186.225 мг</w:t>
      </w:r>
      <w:r w:rsidR="00C03A17">
        <w:rPr>
          <w:rFonts w:ascii="Times New Roman" w:hAnsi="Times New Roman"/>
          <w:iCs/>
          <w:sz w:val="24"/>
          <w:szCs w:val="24"/>
          <w:lang w:eastAsia="ru-RU"/>
        </w:rPr>
        <w:t>.</w:t>
      </w:r>
      <w:r w:rsidR="00C03A17" w:rsidRPr="00C03A17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</w:p>
    <w:p w14:paraId="2C545EE1" w14:textId="77777777" w:rsidR="003C07E3" w:rsidRPr="00205696" w:rsidRDefault="00E75FFF" w:rsidP="005F450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56C94">
        <w:rPr>
          <w:rFonts w:ascii="Times New Roman" w:hAnsi="Times New Roman"/>
          <w:iCs/>
          <w:sz w:val="24"/>
          <w:szCs w:val="24"/>
          <w:lang w:eastAsia="ru-RU"/>
        </w:rPr>
        <w:t>Полный список вспомогательных веществ см. в пункте 6.1</w:t>
      </w:r>
      <w:r w:rsidRPr="00B56C94">
        <w:rPr>
          <w:rFonts w:ascii="Times New Roman" w:hAnsi="Times New Roman"/>
          <w:sz w:val="24"/>
          <w:szCs w:val="24"/>
          <w:lang w:eastAsia="ru-RU"/>
        </w:rPr>
        <w:t>.</w:t>
      </w:r>
    </w:p>
    <w:p w14:paraId="3BC8958F" w14:textId="77777777" w:rsidR="00205696" w:rsidRPr="00B56C94" w:rsidRDefault="00205696" w:rsidP="005F45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</w:p>
    <w:p w14:paraId="191E7527" w14:textId="77777777" w:rsidR="00B7231F" w:rsidRPr="00B56C94" w:rsidRDefault="00B7231F" w:rsidP="005F45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" w:name="2175220286"/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280121"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ЛЕКАРСТВЕННАЯ ФОРМА</w:t>
      </w:r>
    </w:p>
    <w:bookmarkEnd w:id="2"/>
    <w:p w14:paraId="408129B7" w14:textId="77777777" w:rsidR="00790608" w:rsidRPr="00B61AC2" w:rsidRDefault="00790608" w:rsidP="005F450A">
      <w:pPr>
        <w:pStyle w:val="Default"/>
        <w:jc w:val="both"/>
        <w:rPr>
          <w:spacing w:val="-4"/>
        </w:rPr>
      </w:pPr>
      <w:r w:rsidRPr="00B61AC2">
        <w:rPr>
          <w:spacing w:val="-4"/>
        </w:rPr>
        <w:t>Таблетки, покрытые пленочной оболочкой.</w:t>
      </w:r>
    </w:p>
    <w:p w14:paraId="362A3570" w14:textId="77777777" w:rsidR="00B7231F" w:rsidRPr="00B61AC2" w:rsidRDefault="002F1D05" w:rsidP="005F45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B61AC2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ru-RU"/>
        </w:rPr>
        <w:t>Севкар 400 мг:</w:t>
      </w:r>
      <w:r w:rsidR="00B61AC2" w:rsidRPr="00B61AC2">
        <w:t xml:space="preserve"> </w:t>
      </w:r>
      <w:r w:rsidR="000807C7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т</w:t>
      </w:r>
      <w:r w:rsidR="000807C7" w:rsidRPr="000807C7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аблетки модифицированной капсуловидной формы, покрытые пленочной оболочкой, от белого до почти белого цвета</w:t>
      </w:r>
    </w:p>
    <w:p w14:paraId="0C50C901" w14:textId="77777777" w:rsidR="002F1D05" w:rsidRPr="00B61AC2" w:rsidRDefault="002F1D05" w:rsidP="005F45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B61AC2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ru-RU"/>
        </w:rPr>
        <w:t>Севкар 800 мг:</w:t>
      </w:r>
      <w:r w:rsidRPr="00B61AC2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 xml:space="preserve"> </w:t>
      </w:r>
      <w:r w:rsidR="000807C7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т</w:t>
      </w:r>
      <w:r w:rsidR="000807C7" w:rsidRPr="000807C7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аблетки модифи</w:t>
      </w:r>
      <w:r w:rsidR="003A6DC9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 xml:space="preserve">цированной капсуловидной формы, </w:t>
      </w:r>
      <w:r w:rsidR="000807C7" w:rsidRPr="000807C7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покрытые пленочной оболочкой, от белого до почти белого цвета</w:t>
      </w:r>
    </w:p>
    <w:p w14:paraId="123BF180" w14:textId="77777777" w:rsidR="002F1D05" w:rsidRPr="00B56C94" w:rsidRDefault="002F1D05" w:rsidP="005F45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14:paraId="20AC6F94" w14:textId="77777777" w:rsidR="005F450A" w:rsidRDefault="00B7231F" w:rsidP="005F45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B406A"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bookmarkEnd w:id="1"/>
      <w:r w:rsidR="00384EFD"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КЛИНИЧЕСКИЕ ДАННЫЕ</w:t>
      </w:r>
    </w:p>
    <w:p w14:paraId="12413D76" w14:textId="77777777" w:rsidR="005444B2" w:rsidRPr="005F450A" w:rsidRDefault="00B7231F" w:rsidP="005F45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6C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DB406A" w:rsidRPr="00B56C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B56C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DB406A" w:rsidRPr="00B56C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444B2" w:rsidRPr="00B56C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Показания к применению</w:t>
      </w:r>
    </w:p>
    <w:p w14:paraId="6BDF9049" w14:textId="77777777" w:rsidR="00452847" w:rsidRPr="00452847" w:rsidRDefault="00452847" w:rsidP="005F450A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847">
        <w:rPr>
          <w:rFonts w:ascii="Times New Roman" w:hAnsi="Times New Roman"/>
          <w:sz w:val="24"/>
          <w:szCs w:val="24"/>
        </w:rPr>
        <w:t>- контроль гиперфосфатемии у взрослых пациентов, находящихся на гемодиал</w:t>
      </w:r>
      <w:r w:rsidR="005F450A">
        <w:rPr>
          <w:rFonts w:ascii="Times New Roman" w:hAnsi="Times New Roman"/>
          <w:sz w:val="24"/>
          <w:szCs w:val="24"/>
        </w:rPr>
        <w:t xml:space="preserve">изе или перитонеальном диализе </w:t>
      </w:r>
    </w:p>
    <w:p w14:paraId="7AAF381A" w14:textId="77777777" w:rsidR="00452847" w:rsidRPr="00452847" w:rsidRDefault="00452847" w:rsidP="005F450A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847">
        <w:rPr>
          <w:rFonts w:ascii="Times New Roman" w:hAnsi="Times New Roman"/>
          <w:sz w:val="24"/>
          <w:szCs w:val="24"/>
        </w:rPr>
        <w:t>- контроль гиперфосфатемии при хронической болезни почек</w:t>
      </w:r>
      <w:r w:rsidR="00A063F0">
        <w:rPr>
          <w:rFonts w:ascii="Times New Roman" w:hAnsi="Times New Roman"/>
          <w:sz w:val="24"/>
          <w:szCs w:val="24"/>
        </w:rPr>
        <w:t xml:space="preserve"> (ХБП)</w:t>
      </w:r>
      <w:r w:rsidRPr="00452847">
        <w:rPr>
          <w:rFonts w:ascii="Times New Roman" w:hAnsi="Times New Roman"/>
          <w:sz w:val="24"/>
          <w:szCs w:val="24"/>
        </w:rPr>
        <w:t xml:space="preserve"> у взрослых пациентов, не находящихся на диализе при концентрац</w:t>
      </w:r>
      <w:r w:rsidR="005F450A">
        <w:rPr>
          <w:rFonts w:ascii="Times New Roman" w:hAnsi="Times New Roman"/>
          <w:sz w:val="24"/>
          <w:szCs w:val="24"/>
        </w:rPr>
        <w:t>ии фосфора ≥</w:t>
      </w:r>
      <w:r w:rsidRPr="00452847">
        <w:rPr>
          <w:rFonts w:ascii="Times New Roman" w:hAnsi="Times New Roman"/>
          <w:sz w:val="24"/>
          <w:szCs w:val="24"/>
        </w:rPr>
        <w:t>1,78 ммоль/л;</w:t>
      </w:r>
    </w:p>
    <w:p w14:paraId="2F0839C1" w14:textId="77777777" w:rsidR="00452847" w:rsidRPr="00452847" w:rsidRDefault="00452847" w:rsidP="005F450A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847">
        <w:rPr>
          <w:rFonts w:ascii="Times New Roman" w:hAnsi="Times New Roman"/>
          <w:sz w:val="24"/>
          <w:szCs w:val="24"/>
        </w:rPr>
        <w:t>- в контексте множественного терапевтического подхода, который может включать кальциевые добавки, 1,25-дигидрокси витамина D3 или один из его аналогов для контроля развития почечной остеодистрофии.</w:t>
      </w:r>
    </w:p>
    <w:p w14:paraId="699C61C6" w14:textId="77777777" w:rsidR="005444B2" w:rsidRPr="00B56C94" w:rsidRDefault="00832A7E" w:rsidP="005F450A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C94">
        <w:rPr>
          <w:rFonts w:ascii="Times New Roman" w:hAnsi="Times New Roman"/>
          <w:sz w:val="24"/>
          <w:szCs w:val="24"/>
        </w:rPr>
        <w:t xml:space="preserve"> </w:t>
      </w:r>
    </w:p>
    <w:p w14:paraId="2F5FDFC4" w14:textId="77777777" w:rsidR="00B7231F" w:rsidRPr="00B56C94" w:rsidRDefault="00B7231F" w:rsidP="005F45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" w:name="2175220274"/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4.2 Режим дозирования и способ применения</w:t>
      </w:r>
    </w:p>
    <w:p w14:paraId="0C183F31" w14:textId="77777777" w:rsidR="00891EB8" w:rsidRDefault="00B7231F" w:rsidP="005F45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Режим дозирования </w:t>
      </w:r>
    </w:p>
    <w:p w14:paraId="193CFE3D" w14:textId="77777777" w:rsidR="00D849D5" w:rsidRPr="00D849D5" w:rsidRDefault="00D849D5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849D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Начальная доза </w:t>
      </w:r>
    </w:p>
    <w:p w14:paraId="53F22FEB" w14:textId="77777777" w:rsidR="00D849D5" w:rsidRPr="00D849D5" w:rsidRDefault="00D849D5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49D5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Рекомендуемая начальная доза севеламера карбоната составляет 2,4 г или 4,8 г в сутки в зависимости от клинической потребности и сывороточного уровня фосфора. </w:t>
      </w:r>
      <w:r w:rsidRPr="005F450A">
        <w:rPr>
          <w:rFonts w:ascii="Times New Roman" w:eastAsia="Times New Roman" w:hAnsi="Times New Roman"/>
          <w:sz w:val="24"/>
          <w:szCs w:val="24"/>
          <w:lang w:eastAsia="ru-RU"/>
        </w:rPr>
        <w:t xml:space="preserve">Севкар </w:t>
      </w:r>
      <w:r w:rsidRPr="00D849D5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необходимо принимать три раза в сутки во время еды. </w:t>
      </w:r>
    </w:p>
    <w:p w14:paraId="0D252856" w14:textId="77777777" w:rsidR="00901635" w:rsidRPr="00901635" w:rsidRDefault="00901635" w:rsidP="005F4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расчета начальной</w:t>
      </w:r>
      <w:r w:rsidRPr="00901635">
        <w:rPr>
          <w:rFonts w:ascii="Times New Roman" w:hAnsi="Times New Roman"/>
          <w:sz w:val="24"/>
          <w:szCs w:val="24"/>
        </w:rPr>
        <w:t xml:space="preserve"> дозы рекомендуется следующий режим дозирования и комбинации: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7"/>
        <w:gridCol w:w="5122"/>
      </w:tblGrid>
      <w:tr w:rsidR="00901635" w:rsidRPr="00901635" w14:paraId="32185BCF" w14:textId="77777777" w:rsidTr="00EE6511">
        <w:tc>
          <w:tcPr>
            <w:tcW w:w="4057" w:type="dxa"/>
            <w:shd w:val="clear" w:color="auto" w:fill="auto"/>
          </w:tcPr>
          <w:p w14:paraId="6589162D" w14:textId="77777777" w:rsidR="00901635" w:rsidRPr="00901635" w:rsidRDefault="00901635" w:rsidP="005F45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35">
              <w:rPr>
                <w:rFonts w:ascii="Times New Roman" w:hAnsi="Times New Roman"/>
                <w:sz w:val="24"/>
                <w:szCs w:val="24"/>
              </w:rPr>
              <w:t>Уровень фосфора в сыворотке крови пациентов</w:t>
            </w:r>
          </w:p>
        </w:tc>
        <w:tc>
          <w:tcPr>
            <w:tcW w:w="5122" w:type="dxa"/>
            <w:shd w:val="clear" w:color="auto" w:fill="auto"/>
          </w:tcPr>
          <w:p w14:paraId="57249942" w14:textId="77777777" w:rsidR="00901635" w:rsidRPr="00901635" w:rsidRDefault="00901635" w:rsidP="005F45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35">
              <w:rPr>
                <w:rFonts w:ascii="Times New Roman" w:hAnsi="Times New Roman"/>
                <w:sz w:val="24"/>
                <w:szCs w:val="24"/>
              </w:rPr>
              <w:t>Общая суточная доза севеламера карбоната, принимаемая 3 раза в день во время еды</w:t>
            </w:r>
          </w:p>
        </w:tc>
      </w:tr>
      <w:tr w:rsidR="00901635" w:rsidRPr="00901635" w14:paraId="6B62BA16" w14:textId="77777777" w:rsidTr="00EE6511">
        <w:tc>
          <w:tcPr>
            <w:tcW w:w="4057" w:type="dxa"/>
            <w:shd w:val="clear" w:color="auto" w:fill="auto"/>
          </w:tcPr>
          <w:p w14:paraId="6B86DE14" w14:textId="77777777" w:rsidR="00901635" w:rsidRPr="00901635" w:rsidRDefault="004A587B" w:rsidP="005F45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1.78–</w:t>
            </w:r>
            <w:r w:rsidR="00901635" w:rsidRPr="00901635">
              <w:rPr>
                <w:rFonts w:ascii="Times New Roman" w:hAnsi="Times New Roman"/>
                <w:sz w:val="24"/>
                <w:szCs w:val="24"/>
              </w:rPr>
              <w:t>2.42 ммоль/л (5.</w:t>
            </w:r>
            <w:r w:rsidR="00901635" w:rsidRPr="00901635">
              <w:rPr>
                <w:rFonts w:ascii="Times New Roman" w:hAnsi="Times New Roman"/>
                <w:sz w:val="24"/>
                <w:szCs w:val="24"/>
                <w:lang w:val="en-US"/>
              </w:rPr>
              <w:t>5-</w:t>
            </w:r>
            <w:r w:rsidR="00901635" w:rsidRPr="00901635">
              <w:rPr>
                <w:rFonts w:ascii="Times New Roman" w:hAnsi="Times New Roman"/>
                <w:sz w:val="24"/>
                <w:szCs w:val="24"/>
              </w:rPr>
              <w:t>7.5 мг/дл)</w:t>
            </w:r>
          </w:p>
        </w:tc>
        <w:tc>
          <w:tcPr>
            <w:tcW w:w="5122" w:type="dxa"/>
            <w:shd w:val="clear" w:color="auto" w:fill="auto"/>
          </w:tcPr>
          <w:p w14:paraId="300282DA" w14:textId="77777777" w:rsidR="00901635" w:rsidRPr="00901635" w:rsidRDefault="00901635" w:rsidP="005F45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35">
              <w:rPr>
                <w:rFonts w:ascii="Times New Roman" w:hAnsi="Times New Roman"/>
                <w:sz w:val="24"/>
                <w:szCs w:val="24"/>
              </w:rPr>
              <w:t>2.4 г* (по 1 таблетке по 800 мг 3 раза в день)</w:t>
            </w:r>
          </w:p>
        </w:tc>
      </w:tr>
      <w:tr w:rsidR="00901635" w:rsidRPr="00901635" w14:paraId="1B185165" w14:textId="77777777" w:rsidTr="00EE6511">
        <w:tc>
          <w:tcPr>
            <w:tcW w:w="4057" w:type="dxa"/>
            <w:shd w:val="clear" w:color="auto" w:fill="auto"/>
          </w:tcPr>
          <w:p w14:paraId="4589D67A" w14:textId="77777777" w:rsidR="00901635" w:rsidRPr="00901635" w:rsidRDefault="005F450A" w:rsidP="005F45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&gt;2.42 ммоль/л (&gt;</w:t>
            </w:r>
            <w:r w:rsidR="00901635" w:rsidRPr="00901635">
              <w:rPr>
                <w:rFonts w:ascii="Times New Roman" w:hAnsi="Times New Roman"/>
                <w:sz w:val="24"/>
                <w:szCs w:val="24"/>
              </w:rPr>
              <w:t>7.5 мг/дл)</w:t>
            </w:r>
          </w:p>
        </w:tc>
        <w:tc>
          <w:tcPr>
            <w:tcW w:w="5122" w:type="dxa"/>
            <w:shd w:val="clear" w:color="auto" w:fill="auto"/>
          </w:tcPr>
          <w:p w14:paraId="53F5E328" w14:textId="77777777" w:rsidR="00901635" w:rsidRPr="00901635" w:rsidRDefault="00901635" w:rsidP="005F45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635">
              <w:rPr>
                <w:rFonts w:ascii="Times New Roman" w:hAnsi="Times New Roman"/>
                <w:sz w:val="24"/>
                <w:szCs w:val="24"/>
              </w:rPr>
              <w:t>4.8 г* (по 2 таблетки по 800 мг 3 раза в день)</w:t>
            </w:r>
          </w:p>
        </w:tc>
      </w:tr>
    </w:tbl>
    <w:p w14:paraId="0EF75DB2" w14:textId="77777777" w:rsidR="00901635" w:rsidRPr="005F450A" w:rsidRDefault="00901635" w:rsidP="005F45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F450A">
        <w:rPr>
          <w:rFonts w:ascii="Times New Roman" w:hAnsi="Times New Roman"/>
          <w:sz w:val="20"/>
          <w:szCs w:val="20"/>
        </w:rPr>
        <w:t>* плюс последующее титрование в соответствии с инструкцией</w:t>
      </w:r>
    </w:p>
    <w:p w14:paraId="42D22C83" w14:textId="77777777" w:rsidR="0008319F" w:rsidRPr="00D849D5" w:rsidRDefault="0008319F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0275EF" w14:textId="77777777" w:rsidR="00901635" w:rsidRDefault="00901635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1635">
        <w:rPr>
          <w:rFonts w:ascii="Times New Roman" w:eastAsia="Times New Roman" w:hAnsi="Times New Roman"/>
          <w:sz w:val="24"/>
          <w:szCs w:val="24"/>
          <w:lang w:eastAsia="ru-RU"/>
        </w:rPr>
        <w:t>Для пациентов, ранее получавших фосфатсвязывающие препараты (севеламера гидрохлорид или препараты на основе кальция)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лекарственное средство </w:t>
      </w:r>
      <w:r w:rsidRPr="00DB5FEE">
        <w:rPr>
          <w:rFonts w:ascii="Times New Roman" w:eastAsia="Times New Roman" w:hAnsi="Times New Roman"/>
          <w:sz w:val="24"/>
          <w:szCs w:val="24"/>
          <w:lang w:eastAsia="ru-RU"/>
        </w:rPr>
        <w:t>Севкар</w:t>
      </w:r>
      <w:r w:rsidRPr="00901635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 назначать в перерасчете грамм на грамм с контролем уровня фосфора в сыворотке крови для обеспечения оптимальных суточных доз.</w:t>
      </w:r>
    </w:p>
    <w:p w14:paraId="3D730B38" w14:textId="77777777" w:rsidR="00FF4CDC" w:rsidRPr="00FF4CDC" w:rsidRDefault="00FF4CDC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F4CD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Титрование дозы и поддержание </w:t>
      </w:r>
    </w:p>
    <w:p w14:paraId="0182426F" w14:textId="77777777" w:rsidR="005D3444" w:rsidRPr="005D3444" w:rsidRDefault="005D3444" w:rsidP="005F4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444">
        <w:rPr>
          <w:rFonts w:ascii="Times New Roman" w:hAnsi="Times New Roman"/>
          <w:sz w:val="24"/>
          <w:szCs w:val="24"/>
        </w:rPr>
        <w:t xml:space="preserve">Уровень фосфора в сыворотке крови должен контролироваться. Доза севеламера карбоната, титрованная до 0.8 г три раза в день (2.4 г в день), должна увеличиваться каждые 2-4 недели, пока не будет достигнут приемлемый уровень фосфора в сыворотке крови с регулярным последующим мониторингом. </w:t>
      </w:r>
    </w:p>
    <w:p w14:paraId="7D3B3CB1" w14:textId="77777777" w:rsidR="005D3444" w:rsidRPr="005D3444" w:rsidRDefault="005D3444" w:rsidP="005F4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Пациенты, принимающие севеламера карбонат</w:t>
      </w:r>
      <w:r w:rsidRPr="005D3444">
        <w:rPr>
          <w:rFonts w:ascii="Times New Roman" w:hAnsi="Times New Roman"/>
          <w:sz w:val="24"/>
          <w:szCs w:val="24"/>
        </w:rPr>
        <w:t xml:space="preserve">, должны придерживаться установленной для них диеты. </w:t>
      </w:r>
    </w:p>
    <w:p w14:paraId="64943E1F" w14:textId="77777777" w:rsidR="005D3444" w:rsidRPr="005D3444" w:rsidRDefault="005D3444" w:rsidP="005F450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5D3444">
        <w:rPr>
          <w:rFonts w:ascii="Times New Roman" w:hAnsi="Times New Roman"/>
          <w:i/>
          <w:iCs/>
          <w:sz w:val="24"/>
          <w:szCs w:val="24"/>
        </w:rPr>
        <w:t>Длительность лечения</w:t>
      </w:r>
    </w:p>
    <w:p w14:paraId="26201F54" w14:textId="77777777" w:rsidR="00FF4CDC" w:rsidRPr="00531848" w:rsidRDefault="00FF4CDC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CDC">
        <w:rPr>
          <w:rFonts w:ascii="Times New Roman" w:eastAsia="Times New Roman" w:hAnsi="Times New Roman"/>
          <w:sz w:val="24"/>
          <w:szCs w:val="24"/>
          <w:lang w:eastAsia="ru-RU"/>
        </w:rPr>
        <w:t>В клинической практике лечение будет непрерывным в зависимости от необходимости контролировать уровень фосфора в сыворотке</w:t>
      </w:r>
      <w:r w:rsidR="00D22E3F">
        <w:rPr>
          <w:rFonts w:ascii="Times New Roman" w:eastAsia="Times New Roman" w:hAnsi="Times New Roman"/>
          <w:sz w:val="24"/>
          <w:szCs w:val="24"/>
          <w:lang w:eastAsia="ru-RU"/>
        </w:rPr>
        <w:t xml:space="preserve"> крови</w:t>
      </w:r>
      <w:r w:rsidRPr="00FF4CDC">
        <w:rPr>
          <w:rFonts w:ascii="Times New Roman" w:eastAsia="Times New Roman" w:hAnsi="Times New Roman"/>
          <w:sz w:val="24"/>
          <w:szCs w:val="24"/>
          <w:lang w:eastAsia="ru-RU"/>
        </w:rPr>
        <w:t xml:space="preserve">, и ожидается, что суточная доза будет, в среднем, составлять приблизительно 6 г в сутки. </w:t>
      </w:r>
    </w:p>
    <w:bookmarkEnd w:id="3"/>
    <w:p w14:paraId="395E9ADB" w14:textId="77777777" w:rsidR="009F5A85" w:rsidRPr="00B56C94" w:rsidRDefault="00B21CF0" w:rsidP="005F45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Особые группы пациентов</w:t>
      </w:r>
    </w:p>
    <w:p w14:paraId="7D678604" w14:textId="77777777" w:rsidR="00C77910" w:rsidRPr="00B56C94" w:rsidRDefault="00C77910" w:rsidP="005F450A">
      <w:pPr>
        <w:spacing w:after="0" w:line="240" w:lineRule="auto"/>
        <w:jc w:val="both"/>
        <w:outlineLvl w:val="2"/>
        <w:rPr>
          <w:rFonts w:ascii="Times New Roman" w:eastAsia="Microsoft Sans Serif" w:hAnsi="Times New Roman"/>
          <w:i/>
          <w:sz w:val="24"/>
          <w:szCs w:val="24"/>
        </w:rPr>
      </w:pPr>
      <w:bookmarkStart w:id="4" w:name="bookmark18"/>
      <w:r w:rsidRPr="00B56C94">
        <w:rPr>
          <w:rFonts w:ascii="Times New Roman" w:hAnsi="Times New Roman"/>
          <w:i/>
          <w:sz w:val="24"/>
          <w:szCs w:val="24"/>
        </w:rPr>
        <w:t>Дети</w:t>
      </w:r>
    </w:p>
    <w:p w14:paraId="078D4C14" w14:textId="77777777" w:rsidR="00996089" w:rsidRPr="00DB5FEE" w:rsidRDefault="003E6C5C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6C5C">
        <w:rPr>
          <w:rFonts w:ascii="Times New Roman" w:eastAsia="Times New Roman" w:hAnsi="Times New Roman"/>
          <w:sz w:val="24"/>
          <w:szCs w:val="24"/>
          <w:lang w:eastAsia="ru-RU"/>
        </w:rPr>
        <w:t xml:space="preserve">Не устанавливались безопасность и эффективность севеламера карбоната у детей в </w:t>
      </w:r>
      <w:r w:rsidRPr="00DB5FEE">
        <w:rPr>
          <w:rFonts w:ascii="Times New Roman" w:eastAsia="Times New Roman" w:hAnsi="Times New Roman"/>
          <w:sz w:val="24"/>
          <w:szCs w:val="24"/>
          <w:lang w:eastAsia="ru-RU"/>
        </w:rPr>
        <w:t>возрасте до 6 лет или у детей с ППТ (площадью поверхности тела) менее 0,75 м</w:t>
      </w:r>
      <w:r w:rsidRPr="00DB5FE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DB5FE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52AC6239" w14:textId="77777777" w:rsidR="003E6C5C" w:rsidRPr="003E6C5C" w:rsidRDefault="00996089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FEE">
        <w:rPr>
          <w:rFonts w:ascii="Times New Roman" w:eastAsia="Times New Roman" w:hAnsi="Times New Roman"/>
          <w:i/>
          <w:sz w:val="24"/>
          <w:szCs w:val="24"/>
          <w:lang w:eastAsia="ru-RU"/>
        </w:rPr>
        <w:t>Севкар 400 мг: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</w:t>
      </w:r>
      <w:r w:rsidR="003E6C5C" w:rsidRPr="003E6C5C">
        <w:rPr>
          <w:rFonts w:ascii="Times New Roman" w:eastAsia="Times New Roman" w:hAnsi="Times New Roman"/>
          <w:sz w:val="24"/>
          <w:szCs w:val="24"/>
          <w:lang w:eastAsia="ru-RU"/>
        </w:rPr>
        <w:t xml:space="preserve">ыли установлены безопасность и эффективность севеламера карбоната у детей в </w:t>
      </w:r>
      <w:r w:rsidR="00DB5FEE">
        <w:rPr>
          <w:rFonts w:ascii="Times New Roman" w:eastAsia="Times New Roman" w:hAnsi="Times New Roman"/>
          <w:sz w:val="24"/>
          <w:szCs w:val="24"/>
          <w:lang w:eastAsia="ru-RU"/>
        </w:rPr>
        <w:t>возрасте старше 6 лет и с ППТ &gt;</w:t>
      </w:r>
      <w:r w:rsidR="003E6C5C" w:rsidRPr="003E6C5C">
        <w:rPr>
          <w:rFonts w:ascii="Times New Roman" w:eastAsia="Times New Roman" w:hAnsi="Times New Roman"/>
          <w:sz w:val="24"/>
          <w:szCs w:val="24"/>
          <w:lang w:eastAsia="ru-RU"/>
        </w:rPr>
        <w:t>0,75 м</w:t>
      </w:r>
      <w:r w:rsidR="003E6C5C" w:rsidRPr="003E6C5C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="003E6C5C" w:rsidRPr="003E6C5C">
        <w:rPr>
          <w:rFonts w:ascii="Times New Roman" w:eastAsia="Times New Roman" w:hAnsi="Times New Roman"/>
          <w:sz w:val="24"/>
          <w:szCs w:val="24"/>
          <w:lang w:eastAsia="ru-RU"/>
        </w:rPr>
        <w:t xml:space="preserve">. Имеющиеся в распоряжении в настоящее время данные описаны в разделе 5.1. </w:t>
      </w:r>
    </w:p>
    <w:p w14:paraId="3A40FF12" w14:textId="77777777" w:rsidR="009F5A85" w:rsidRDefault="009F5A85" w:rsidP="005F450A">
      <w:pPr>
        <w:spacing w:after="0" w:line="240" w:lineRule="auto"/>
        <w:jc w:val="both"/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</w:pPr>
      <w:r w:rsidRPr="00B56C94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>Пациент</w:t>
      </w:r>
      <w:r w:rsidR="00C77910" w:rsidRPr="00B56C94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>ы</w:t>
      </w:r>
      <w:r w:rsidRPr="00B56C94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 xml:space="preserve"> пожилого возраста</w:t>
      </w:r>
    </w:p>
    <w:p w14:paraId="6A8631A0" w14:textId="77777777" w:rsidR="007F1ED3" w:rsidRPr="007F1ED3" w:rsidRDefault="007F1ED3" w:rsidP="005F450A">
      <w:pPr>
        <w:spacing w:after="0" w:line="240" w:lineRule="auto"/>
        <w:jc w:val="both"/>
        <w:rPr>
          <w:rFonts w:ascii="Times New Roman" w:eastAsia="Microsoft Sans Serif" w:hAnsi="Times New Roman"/>
          <w:bCs/>
          <w:sz w:val="24"/>
          <w:szCs w:val="24"/>
          <w:lang w:bidi="ru-RU"/>
        </w:rPr>
      </w:pPr>
      <w:r w:rsidRPr="00A06EE5">
        <w:rPr>
          <w:rFonts w:ascii="Times New Roman" w:eastAsia="Microsoft Sans Serif" w:hAnsi="Times New Roman"/>
          <w:bCs/>
          <w:sz w:val="24"/>
          <w:szCs w:val="24"/>
          <w:lang w:bidi="ru-RU"/>
        </w:rPr>
        <w:t>Нет необходимости корректировать дозировку у пациентов пожилого возраста.</w:t>
      </w:r>
    </w:p>
    <w:p w14:paraId="392AAA08" w14:textId="77777777" w:rsidR="009F5A85" w:rsidRPr="00B56C94" w:rsidRDefault="009F5A85" w:rsidP="005F450A">
      <w:pPr>
        <w:spacing w:after="0" w:line="240" w:lineRule="auto"/>
        <w:jc w:val="both"/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</w:pPr>
      <w:bookmarkStart w:id="5" w:name="bookmark19"/>
      <w:bookmarkEnd w:id="4"/>
      <w:r w:rsidRPr="00B56C94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>Пациент</w:t>
      </w:r>
      <w:r w:rsidR="00C77910" w:rsidRPr="00B56C94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>ы</w:t>
      </w:r>
      <w:r w:rsidRPr="00B56C94">
        <w:rPr>
          <w:rFonts w:ascii="Times New Roman" w:eastAsia="Microsoft Sans Serif" w:hAnsi="Times New Roman"/>
          <w:bCs/>
          <w:i/>
          <w:sz w:val="24"/>
          <w:szCs w:val="24"/>
          <w:lang w:bidi="ru-RU"/>
        </w:rPr>
        <w:t xml:space="preserve"> с печеночной недостаточностью</w:t>
      </w:r>
      <w:bookmarkEnd w:id="5"/>
    </w:p>
    <w:p w14:paraId="34C9C5C1" w14:textId="77777777" w:rsidR="007F1ED3" w:rsidRDefault="007F1ED3" w:rsidP="005F4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6" w:name="bookmark20"/>
      <w:r w:rsidRPr="007F1ED3">
        <w:rPr>
          <w:rFonts w:ascii="Times New Roman" w:hAnsi="Times New Roman"/>
          <w:sz w:val="24"/>
          <w:szCs w:val="24"/>
        </w:rPr>
        <w:t xml:space="preserve">Исследования у пациентов с печеночной недостаточностью не проводились. </w:t>
      </w:r>
    </w:p>
    <w:bookmarkEnd w:id="6"/>
    <w:p w14:paraId="3BB45694" w14:textId="77777777" w:rsidR="009F5A85" w:rsidRPr="00B56C94" w:rsidRDefault="009F5A85" w:rsidP="005F45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6C94">
        <w:rPr>
          <w:rFonts w:ascii="Times New Roman" w:hAnsi="Times New Roman"/>
          <w:b/>
          <w:sz w:val="24"/>
          <w:szCs w:val="24"/>
          <w:lang w:bidi="ru-RU"/>
        </w:rPr>
        <w:t xml:space="preserve">Способ применения </w:t>
      </w:r>
    </w:p>
    <w:p w14:paraId="106A40F6" w14:textId="77777777" w:rsidR="0078568D" w:rsidRDefault="00531848" w:rsidP="005F4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перорального применения.</w:t>
      </w:r>
      <w:r w:rsidR="00E16979">
        <w:rPr>
          <w:rFonts w:ascii="Times New Roman" w:hAnsi="Times New Roman"/>
          <w:sz w:val="24"/>
          <w:szCs w:val="24"/>
        </w:rPr>
        <w:t xml:space="preserve"> </w:t>
      </w:r>
      <w:r w:rsidRPr="00531848">
        <w:rPr>
          <w:rFonts w:ascii="Times New Roman" w:hAnsi="Times New Roman"/>
          <w:sz w:val="24"/>
          <w:szCs w:val="24"/>
        </w:rPr>
        <w:t>Таблетки следует проглатывать цел</w:t>
      </w:r>
      <w:r w:rsidR="008C2AB4">
        <w:rPr>
          <w:rFonts w:ascii="Times New Roman" w:hAnsi="Times New Roman"/>
          <w:sz w:val="24"/>
          <w:szCs w:val="24"/>
        </w:rPr>
        <w:t xml:space="preserve">иком, </w:t>
      </w:r>
      <w:r w:rsidR="00BA7054">
        <w:rPr>
          <w:rFonts w:ascii="Times New Roman" w:hAnsi="Times New Roman"/>
          <w:sz w:val="24"/>
          <w:szCs w:val="24"/>
        </w:rPr>
        <w:t>не следует измельчать</w:t>
      </w:r>
      <w:r w:rsidRPr="00531848">
        <w:rPr>
          <w:rFonts w:ascii="Times New Roman" w:hAnsi="Times New Roman"/>
          <w:sz w:val="24"/>
          <w:szCs w:val="24"/>
        </w:rPr>
        <w:t xml:space="preserve">, </w:t>
      </w:r>
      <w:r w:rsidR="00BA7054">
        <w:rPr>
          <w:rFonts w:ascii="Times New Roman" w:hAnsi="Times New Roman"/>
          <w:sz w:val="24"/>
          <w:szCs w:val="24"/>
        </w:rPr>
        <w:t>раз</w:t>
      </w:r>
      <w:r w:rsidRPr="00531848">
        <w:rPr>
          <w:rFonts w:ascii="Times New Roman" w:hAnsi="Times New Roman"/>
          <w:sz w:val="24"/>
          <w:szCs w:val="24"/>
        </w:rPr>
        <w:t>же</w:t>
      </w:r>
      <w:r w:rsidR="00BA7054">
        <w:rPr>
          <w:rFonts w:ascii="Times New Roman" w:hAnsi="Times New Roman"/>
          <w:sz w:val="24"/>
          <w:szCs w:val="24"/>
        </w:rPr>
        <w:t>вывать или разламывать на части</w:t>
      </w:r>
      <w:r w:rsidRPr="00531848">
        <w:rPr>
          <w:rFonts w:ascii="Times New Roman" w:hAnsi="Times New Roman"/>
          <w:sz w:val="24"/>
          <w:szCs w:val="24"/>
        </w:rPr>
        <w:t xml:space="preserve"> перед приемом. </w:t>
      </w:r>
      <w:r w:rsidRPr="00DB5FEE">
        <w:rPr>
          <w:rFonts w:ascii="Times New Roman" w:hAnsi="Times New Roman"/>
          <w:sz w:val="24"/>
          <w:szCs w:val="24"/>
        </w:rPr>
        <w:t>Севкар</w:t>
      </w:r>
      <w:r w:rsidRPr="00531848">
        <w:rPr>
          <w:rFonts w:ascii="Times New Roman" w:hAnsi="Times New Roman"/>
          <w:sz w:val="24"/>
          <w:szCs w:val="24"/>
        </w:rPr>
        <w:t xml:space="preserve"> следует принимать вместе с едой, </w:t>
      </w:r>
      <w:r w:rsidR="00230AD5" w:rsidRPr="00230AD5">
        <w:rPr>
          <w:rFonts w:ascii="Times New Roman" w:hAnsi="Times New Roman"/>
          <w:sz w:val="24"/>
          <w:szCs w:val="24"/>
        </w:rPr>
        <w:t>нельзя принимать на пустой желудок.</w:t>
      </w:r>
    </w:p>
    <w:p w14:paraId="574AE4FF" w14:textId="77777777" w:rsidR="00531848" w:rsidRPr="00B56C94" w:rsidRDefault="00531848" w:rsidP="005F45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F3FFD59" w14:textId="77777777" w:rsidR="007D0E84" w:rsidRPr="00353C02" w:rsidRDefault="00DB406A" w:rsidP="005F45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566737"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53C02">
        <w:rPr>
          <w:rFonts w:ascii="Times New Roman" w:eastAsia="Times New Roman" w:hAnsi="Times New Roman"/>
          <w:b/>
          <w:sz w:val="24"/>
          <w:szCs w:val="24"/>
          <w:lang w:eastAsia="ru-RU"/>
        </w:rPr>
        <w:t>Противопоказания</w:t>
      </w:r>
    </w:p>
    <w:p w14:paraId="04E7430F" w14:textId="77777777" w:rsidR="00353C02" w:rsidRPr="00353C02" w:rsidRDefault="00AC49B3" w:rsidP="005F450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53C02">
        <w:rPr>
          <w:rFonts w:ascii="Times New Roman" w:hAnsi="Times New Roman"/>
          <w:sz w:val="24"/>
          <w:szCs w:val="24"/>
        </w:rPr>
        <w:t>гиперчувствительность к</w:t>
      </w:r>
      <w:r w:rsidR="00353C02" w:rsidRPr="00353C02">
        <w:rPr>
          <w:rFonts w:ascii="Times New Roman" w:hAnsi="Times New Roman"/>
          <w:sz w:val="24"/>
          <w:szCs w:val="24"/>
        </w:rPr>
        <w:t xml:space="preserve"> действующему веществу или к любому из вспомогательных вещес</w:t>
      </w:r>
      <w:r w:rsidR="00DA5E40">
        <w:rPr>
          <w:rFonts w:ascii="Times New Roman" w:hAnsi="Times New Roman"/>
          <w:sz w:val="24"/>
          <w:szCs w:val="24"/>
        </w:rPr>
        <w:t>тв, перечисленных в разделе 6.1;</w:t>
      </w:r>
    </w:p>
    <w:p w14:paraId="37045684" w14:textId="77777777" w:rsidR="00353C02" w:rsidRPr="00353C02" w:rsidRDefault="00AC49B3" w:rsidP="005F450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53C02">
        <w:rPr>
          <w:rFonts w:ascii="Times New Roman" w:hAnsi="Times New Roman"/>
          <w:sz w:val="24"/>
          <w:szCs w:val="24"/>
        </w:rPr>
        <w:t>г</w:t>
      </w:r>
      <w:r w:rsidR="00DA5E40">
        <w:rPr>
          <w:rFonts w:ascii="Times New Roman" w:hAnsi="Times New Roman"/>
          <w:sz w:val="24"/>
          <w:szCs w:val="24"/>
        </w:rPr>
        <w:t>ипофосфатемия;</w:t>
      </w:r>
    </w:p>
    <w:p w14:paraId="3C77C50B" w14:textId="77777777" w:rsidR="00353C02" w:rsidRPr="00B56C94" w:rsidRDefault="00AC49B3" w:rsidP="005F450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53C02">
        <w:rPr>
          <w:rFonts w:ascii="Times New Roman" w:hAnsi="Times New Roman"/>
          <w:sz w:val="24"/>
          <w:szCs w:val="24"/>
        </w:rPr>
        <w:t>к</w:t>
      </w:r>
      <w:r w:rsidR="00DA5E40">
        <w:rPr>
          <w:rFonts w:ascii="Times New Roman" w:hAnsi="Times New Roman"/>
          <w:sz w:val="24"/>
          <w:szCs w:val="24"/>
        </w:rPr>
        <w:t>ишечная непроходимость.</w:t>
      </w:r>
    </w:p>
    <w:p w14:paraId="59CF0E96" w14:textId="77777777" w:rsidR="007D0E84" w:rsidRPr="00B56C94" w:rsidRDefault="007D0E84" w:rsidP="005F45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6F774A" w14:textId="77777777" w:rsidR="00B10089" w:rsidRPr="00B56C94" w:rsidRDefault="00DB406A" w:rsidP="005F45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9F72B0"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66737" w:rsidRPr="00B56C94">
        <w:rPr>
          <w:rFonts w:ascii="Times New Roman" w:hAnsi="Times New Roman"/>
          <w:b/>
          <w:sz w:val="24"/>
          <w:szCs w:val="24"/>
          <w:lang w:bidi="ru-RU"/>
        </w:rPr>
        <w:t xml:space="preserve">Особые указания и </w:t>
      </w:r>
      <w:r w:rsidR="007D0E84"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меры </w:t>
      </w:r>
      <w:r w:rsidR="00D9686A"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предосторожности при применении</w:t>
      </w:r>
    </w:p>
    <w:p w14:paraId="0A405A2E" w14:textId="77777777" w:rsidR="00605293" w:rsidRPr="00605293" w:rsidRDefault="00605293" w:rsidP="005F450A">
      <w:pPr>
        <w:widowControl w:val="0"/>
        <w:spacing w:after="0" w:line="240" w:lineRule="auto"/>
        <w:ind w:left="-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>Безопасность и эффективность сев</w:t>
      </w:r>
      <w:r w:rsidR="002C1C5D">
        <w:rPr>
          <w:rFonts w:ascii="Times New Roman" w:eastAsia="Times New Roman" w:hAnsi="Times New Roman"/>
          <w:sz w:val="24"/>
          <w:szCs w:val="24"/>
          <w:lang w:eastAsia="ru-RU"/>
        </w:rPr>
        <w:t>еламера карбоната не установлена</w:t>
      </w: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 xml:space="preserve"> у взрослых пациентов с хроническим заболеванием почек, не находящихся на диа</w:t>
      </w:r>
      <w:r w:rsidR="00DB5FEE">
        <w:rPr>
          <w:rFonts w:ascii="Times New Roman" w:eastAsia="Times New Roman" w:hAnsi="Times New Roman"/>
          <w:sz w:val="24"/>
          <w:szCs w:val="24"/>
          <w:lang w:eastAsia="ru-RU"/>
        </w:rPr>
        <w:t>лизе, с сывороточным фосфором &lt;</w:t>
      </w: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 xml:space="preserve">1,78 ммоль/л. Таким образом, в настоящее время не рекомендуется применять препарат у этих пациентов. </w:t>
      </w:r>
    </w:p>
    <w:p w14:paraId="61D059C5" w14:textId="77777777" w:rsidR="00605293" w:rsidRPr="00605293" w:rsidRDefault="00605293" w:rsidP="005F450A">
      <w:pPr>
        <w:widowControl w:val="0"/>
        <w:spacing w:after="0" w:line="240" w:lineRule="auto"/>
        <w:ind w:left="-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>Безопасность и эффективность севеламера карбоната не</w:t>
      </w:r>
      <w:r w:rsidR="002C1C5D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установлена</w:t>
      </w: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 xml:space="preserve"> у пациентов со следующими расстройствами: </w:t>
      </w:r>
    </w:p>
    <w:p w14:paraId="1110CA36" w14:textId="77777777" w:rsidR="00605293" w:rsidRPr="00605293" w:rsidRDefault="00605293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 xml:space="preserve">дисфагия </w:t>
      </w:r>
    </w:p>
    <w:p w14:paraId="4C2A45D2" w14:textId="77777777" w:rsidR="00605293" w:rsidRPr="00605293" w:rsidRDefault="00605293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расстройства глотания </w:t>
      </w:r>
    </w:p>
    <w:p w14:paraId="0CC558B7" w14:textId="77777777" w:rsidR="00605293" w:rsidRPr="00605293" w:rsidRDefault="00605293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 xml:space="preserve">тяжелые нарушения моторики желудочно-кишечного тракта, включая нелеченый или тяжелый гастропарез, </w:t>
      </w:r>
      <w:r w:rsidR="00FC02BF" w:rsidRPr="00A06EE5">
        <w:rPr>
          <w:rFonts w:ascii="Times New Roman" w:eastAsia="Times New Roman" w:hAnsi="Times New Roman"/>
          <w:sz w:val="24"/>
          <w:szCs w:val="24"/>
          <w:lang w:eastAsia="ru-RU"/>
        </w:rPr>
        <w:t xml:space="preserve">задержку содержимого желудка и патологическую или </w:t>
      </w:r>
      <w:r w:rsidR="00FC02BF" w:rsidRPr="00A06EE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нерегулярную перистальтику кишечника</w:t>
      </w:r>
    </w:p>
    <w:p w14:paraId="09E92CA4" w14:textId="77777777" w:rsidR="00605293" w:rsidRPr="00605293" w:rsidRDefault="00605293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>воспалительное заболевание кишечника в активной форме</w:t>
      </w:r>
    </w:p>
    <w:p w14:paraId="51623FFB" w14:textId="77777777" w:rsidR="00605293" w:rsidRPr="00605293" w:rsidRDefault="00605293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>обширное оперативное вмешательство на желудочно-кишечный тракт.</w:t>
      </w:r>
    </w:p>
    <w:p w14:paraId="413D670F" w14:textId="77777777" w:rsidR="00605293" w:rsidRPr="00605293" w:rsidRDefault="00605293" w:rsidP="005F450A">
      <w:pPr>
        <w:widowControl w:val="0"/>
        <w:spacing w:after="0" w:line="240" w:lineRule="auto"/>
        <w:ind w:left="-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>Лечение таких пациентов севеламера карбонатом следует начинать только после тщательной оценки пользы/риска. Если терапия уже начата, то</w:t>
      </w:r>
      <w:r w:rsidR="005F32E9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 мониторинг у пациентов</w:t>
      </w: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>, страдающих от этих нарушений. Лечение севеламера карбонатом следует переоценить у пациентов, у которых развились тяжелые запоры или другие тяжелые желудочно-кишечные симптомы.</w:t>
      </w:r>
    </w:p>
    <w:p w14:paraId="6BA79359" w14:textId="77777777" w:rsidR="00605293" w:rsidRPr="00DB5FEE" w:rsidRDefault="00605293" w:rsidP="005F450A">
      <w:pPr>
        <w:widowControl w:val="0"/>
        <w:spacing w:after="0" w:line="240" w:lineRule="auto"/>
        <w:ind w:left="-4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5FEE">
        <w:rPr>
          <w:rFonts w:ascii="Times New Roman" w:eastAsia="Times New Roman" w:hAnsi="Times New Roman"/>
          <w:i/>
          <w:sz w:val="24"/>
          <w:szCs w:val="24"/>
          <w:lang w:eastAsia="ru-RU"/>
        </w:rPr>
        <w:t>Функциональная непроходимость кишечника и полная/частичная кишечная непроходимость</w:t>
      </w:r>
    </w:p>
    <w:p w14:paraId="16CCA290" w14:textId="77777777" w:rsidR="00605293" w:rsidRPr="00605293" w:rsidRDefault="00605293" w:rsidP="005F450A">
      <w:pPr>
        <w:widowControl w:val="0"/>
        <w:spacing w:after="0" w:line="240" w:lineRule="auto"/>
        <w:ind w:left="-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 xml:space="preserve">В очень редких случаях, наблюдались функциональная непроходимость кишечника и полная/частичная кишечная непроходимость у пациентов во время лечения севеламера гидрохлоридом (капсулы/таблетки), который содержит ту же активную часть молекулы, что и севеламера карбонат. Запоры могут быть предшествующим симптомом. Пациенты, страдающие запорами, должны тщательно контролироваться во время лечения севеламера карбонатом. Лечение следует переоценить у пациентов с тяжелыми запорами или другими тяжелыми желудочно-кишечными симптомами. </w:t>
      </w:r>
    </w:p>
    <w:p w14:paraId="43853113" w14:textId="77777777" w:rsidR="00605293" w:rsidRPr="00DB5FEE" w:rsidRDefault="00605293" w:rsidP="005F450A">
      <w:pPr>
        <w:widowControl w:val="0"/>
        <w:spacing w:after="0" w:line="240" w:lineRule="auto"/>
        <w:ind w:left="-4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5FE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Жирорастворимые витамины и дефицит фолата </w:t>
      </w:r>
    </w:p>
    <w:p w14:paraId="67B879AC" w14:textId="77777777" w:rsidR="00605293" w:rsidRPr="00605293" w:rsidRDefault="000E21AA" w:rsidP="005F450A">
      <w:pPr>
        <w:widowControl w:val="0"/>
        <w:spacing w:after="0" w:line="240" w:lineRule="auto"/>
        <w:ind w:left="-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1AA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зависимости от характера питания и тяжести заболевания у пациентов с хронической болезнью почек возможно снижение уровней жирорастворимых витаминов А, D, E и К. </w:t>
      </w:r>
      <w:r w:rsidR="00605293" w:rsidRPr="00605293">
        <w:rPr>
          <w:rFonts w:ascii="Times New Roman" w:eastAsia="Times New Roman" w:hAnsi="Times New Roman"/>
          <w:sz w:val="24"/>
          <w:szCs w:val="24"/>
          <w:lang w:eastAsia="ru-RU"/>
        </w:rPr>
        <w:t xml:space="preserve">Не исключено, что севеламера карбонат может связывать жирорастворимые витамины, содержащиеся в принимаемой пище. У пациентов, не принимающих дополнительные витамины, но принимающих севеламер, следует регулярно оценивать состояние/уровни витаминов A, D, E и K в сыворотке крови. </w:t>
      </w:r>
      <w:r w:rsidR="001160E1" w:rsidRPr="001160E1">
        <w:rPr>
          <w:rFonts w:ascii="Times New Roman" w:eastAsia="Times New Roman" w:hAnsi="Times New Roman"/>
          <w:sz w:val="24"/>
          <w:szCs w:val="24"/>
          <w:lang w:eastAsia="ru-RU"/>
        </w:rPr>
        <w:t xml:space="preserve">Витаминные добавки рекомендуются, если в них есть необходимость. </w:t>
      </w:r>
      <w:r w:rsidR="00A063F0">
        <w:rPr>
          <w:rFonts w:ascii="Times New Roman" w:eastAsia="Times New Roman" w:hAnsi="Times New Roman"/>
          <w:sz w:val="24"/>
          <w:szCs w:val="24"/>
          <w:lang w:eastAsia="ru-RU"/>
        </w:rPr>
        <w:t>Пациентам с ХБ</w:t>
      </w:r>
      <w:r w:rsidR="00605293" w:rsidRPr="00605293">
        <w:rPr>
          <w:rFonts w:ascii="Times New Roman" w:eastAsia="Times New Roman" w:hAnsi="Times New Roman"/>
          <w:sz w:val="24"/>
          <w:szCs w:val="24"/>
          <w:lang w:eastAsia="ru-RU"/>
        </w:rPr>
        <w:t xml:space="preserve">П, не находящимся на диализе, рекомендуется давать добавки витамина D (приблизительно 400 МЕ нативного витамина D в сутки), которые могут быть частью поливитаминного препарата, который следует принимать отдельно от дозы севеламера карбоната. У пациентов, подвергающихся перитонеальному диализу, рекомендуется дополнительный мониторинг жирорастворимых витаминов и фолиевой кислоты, поскольку уровни витаминов A, D, E и K в клинических исследованиях у таких пациентов не измерялись. </w:t>
      </w:r>
    </w:p>
    <w:p w14:paraId="2B20982C" w14:textId="77777777" w:rsidR="00605293" w:rsidRPr="00605293" w:rsidRDefault="00605293" w:rsidP="005F450A">
      <w:pPr>
        <w:widowControl w:val="0"/>
        <w:spacing w:after="0" w:line="240" w:lineRule="auto"/>
        <w:ind w:left="-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 xml:space="preserve">В настоящее время имеется недостаточно данных для того, чтобы исключить возможность дефицита фолата при длительном лечении севеламера карбонатом. У пациентов, не принимающих дополнительную фолиевую кислоту, но принимающих севеламер, следует регулярно оценивать уровни фолата. </w:t>
      </w:r>
    </w:p>
    <w:p w14:paraId="1C7A9DEA" w14:textId="77777777" w:rsidR="00605293" w:rsidRPr="00DB5FEE" w:rsidRDefault="00605293" w:rsidP="005F450A">
      <w:pPr>
        <w:widowControl w:val="0"/>
        <w:spacing w:after="0" w:line="240" w:lineRule="auto"/>
        <w:ind w:left="-4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5FE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Гипокальциемия/гиперкальциемия </w:t>
      </w:r>
    </w:p>
    <w:p w14:paraId="2708C9E4" w14:textId="77777777" w:rsidR="00605293" w:rsidRPr="00605293" w:rsidRDefault="00A063F0" w:rsidP="005F450A">
      <w:pPr>
        <w:widowControl w:val="0"/>
        <w:spacing w:after="0" w:line="240" w:lineRule="auto"/>
        <w:ind w:left="-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 пациентов с ХБ</w:t>
      </w:r>
      <w:r w:rsidR="00605293" w:rsidRPr="00605293">
        <w:rPr>
          <w:rFonts w:ascii="Times New Roman" w:eastAsia="Times New Roman" w:hAnsi="Times New Roman"/>
          <w:sz w:val="24"/>
          <w:szCs w:val="24"/>
          <w:lang w:eastAsia="ru-RU"/>
        </w:rPr>
        <w:t xml:space="preserve">П может развиться гипокальциемия или гиперкальциемия. Севеламера карбонат не содержит кальций. Поэтому следует регулярно мониторировать уровни кальция в сыворотке, и, при необходимости, в качестве добавки следует назначать </w:t>
      </w:r>
      <w:r w:rsidR="00AD7255">
        <w:rPr>
          <w:rFonts w:ascii="Times New Roman" w:eastAsia="Times New Roman" w:hAnsi="Times New Roman"/>
          <w:sz w:val="24"/>
          <w:szCs w:val="24"/>
          <w:lang w:eastAsia="ru-RU"/>
        </w:rPr>
        <w:t>основной</w:t>
      </w:r>
      <w:r w:rsidR="00605293" w:rsidRPr="00605293">
        <w:rPr>
          <w:rFonts w:ascii="Times New Roman" w:eastAsia="Times New Roman" w:hAnsi="Times New Roman"/>
          <w:sz w:val="24"/>
          <w:szCs w:val="24"/>
          <w:lang w:eastAsia="ru-RU"/>
        </w:rPr>
        <w:t xml:space="preserve"> кальций. </w:t>
      </w:r>
    </w:p>
    <w:p w14:paraId="1735E5EE" w14:textId="77777777" w:rsidR="00605293" w:rsidRPr="00DB5FEE" w:rsidRDefault="00605293" w:rsidP="005F450A">
      <w:pPr>
        <w:widowControl w:val="0"/>
        <w:spacing w:after="0" w:line="240" w:lineRule="auto"/>
        <w:ind w:left="-4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5FE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Метаболический ацидоз </w:t>
      </w:r>
    </w:p>
    <w:p w14:paraId="09C2947C" w14:textId="77777777" w:rsidR="00605293" w:rsidRPr="00DB5FEE" w:rsidRDefault="00A063F0" w:rsidP="005F450A">
      <w:pPr>
        <w:widowControl w:val="0"/>
        <w:spacing w:after="0" w:line="240" w:lineRule="auto"/>
        <w:ind w:left="-4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Пациенты с ХБ</w:t>
      </w:r>
      <w:r w:rsidR="00605293" w:rsidRPr="00605293">
        <w:rPr>
          <w:rFonts w:ascii="Times New Roman" w:eastAsia="Times New Roman" w:hAnsi="Times New Roman"/>
          <w:sz w:val="24"/>
          <w:szCs w:val="24"/>
          <w:lang w:eastAsia="ru-RU"/>
        </w:rPr>
        <w:t xml:space="preserve">П предрасположены к развитию метаболического ацидоза. </w:t>
      </w:r>
      <w:r w:rsidR="00B776A6" w:rsidRPr="00B776A6">
        <w:rPr>
          <w:rFonts w:ascii="Times New Roman" w:eastAsia="Times New Roman" w:hAnsi="Times New Roman"/>
          <w:sz w:val="24"/>
          <w:szCs w:val="24"/>
          <w:lang w:eastAsia="ru-RU"/>
        </w:rPr>
        <w:t>Следовательно, в рамках надлежащей клинической практики реко</w:t>
      </w:r>
      <w:r w:rsidR="00B776A6">
        <w:rPr>
          <w:rFonts w:ascii="Times New Roman" w:eastAsia="Times New Roman" w:hAnsi="Times New Roman"/>
          <w:sz w:val="24"/>
          <w:szCs w:val="24"/>
          <w:lang w:eastAsia="ru-RU"/>
        </w:rPr>
        <w:t xml:space="preserve">мендуется </w:t>
      </w:r>
      <w:r w:rsidR="00605293" w:rsidRPr="00DB5FEE">
        <w:rPr>
          <w:rFonts w:ascii="Times New Roman" w:eastAsia="Times New Roman" w:hAnsi="Times New Roman"/>
          <w:sz w:val="24"/>
          <w:szCs w:val="24"/>
          <w:lang w:eastAsia="ru-RU"/>
        </w:rPr>
        <w:t>контролировать сывороточные уровни бикарбоната.</w:t>
      </w:r>
    </w:p>
    <w:p w14:paraId="08C7154B" w14:textId="77777777" w:rsidR="00605293" w:rsidRPr="00DB5FEE" w:rsidRDefault="00605293" w:rsidP="005F450A">
      <w:pPr>
        <w:widowControl w:val="0"/>
        <w:spacing w:after="0" w:line="240" w:lineRule="auto"/>
        <w:ind w:left="-4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5FE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Перитонит </w:t>
      </w:r>
    </w:p>
    <w:p w14:paraId="58889338" w14:textId="77777777" w:rsidR="00605293" w:rsidRPr="00605293" w:rsidRDefault="00605293" w:rsidP="005F450A">
      <w:pPr>
        <w:widowControl w:val="0"/>
        <w:spacing w:after="0" w:line="240" w:lineRule="auto"/>
        <w:ind w:left="-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 xml:space="preserve">Пациенты, получающие диализ, подвержены определенным рискам инфекции, специфичной для способа диализа. Перитонит является известным осложнением у пациентов, получающих перитонеальный диализ, и в клинических испытаниях с использованием севеламера гидрохлорида в группе, получавшей севеламер, было зарегистрировано большее количество случаев перитонита, чем в контрольной группе. Для пациентов, находящихся на перитонеальном диализе, необходим внимательный мониторинг, чтобы гарантировать правильное использование соответствующей </w:t>
      </w: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асептической </w:t>
      </w:r>
      <w:r w:rsidR="00B24A04">
        <w:rPr>
          <w:rFonts w:ascii="Times New Roman" w:eastAsia="Times New Roman" w:hAnsi="Times New Roman"/>
          <w:sz w:val="24"/>
          <w:szCs w:val="24"/>
          <w:lang w:eastAsia="ru-RU"/>
        </w:rPr>
        <w:t>методики</w:t>
      </w:r>
      <w:r w:rsidR="004675E2">
        <w:rPr>
          <w:rFonts w:ascii="Times New Roman" w:eastAsia="Times New Roman" w:hAnsi="Times New Roman"/>
          <w:sz w:val="24"/>
          <w:szCs w:val="24"/>
          <w:lang w:eastAsia="ru-RU"/>
        </w:rPr>
        <w:t xml:space="preserve"> с быстрым выявлением</w:t>
      </w: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 xml:space="preserve"> и лечением любых признаков и симптомов, связанных с перитонитом.</w:t>
      </w:r>
    </w:p>
    <w:p w14:paraId="0A84B54C" w14:textId="77777777" w:rsidR="00605293" w:rsidRPr="00DB5FEE" w:rsidRDefault="005A73A8" w:rsidP="005F450A">
      <w:pPr>
        <w:widowControl w:val="0"/>
        <w:spacing w:after="0" w:line="240" w:lineRule="auto"/>
        <w:ind w:left="-4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5FEE">
        <w:rPr>
          <w:rFonts w:ascii="Times New Roman" w:eastAsia="Times New Roman" w:hAnsi="Times New Roman"/>
          <w:i/>
          <w:sz w:val="24"/>
          <w:szCs w:val="24"/>
          <w:lang w:eastAsia="ru-RU"/>
        </w:rPr>
        <w:t>Затрудненное глотание или дыхание</w:t>
      </w:r>
      <w:r w:rsidR="00605293" w:rsidRPr="00DB5FE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14:paraId="202BD1F1" w14:textId="77777777" w:rsidR="005F32E9" w:rsidRPr="00605293" w:rsidRDefault="005F32E9" w:rsidP="005F450A">
      <w:pPr>
        <w:widowControl w:val="0"/>
        <w:spacing w:after="0" w:line="240" w:lineRule="auto"/>
        <w:ind w:left="-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32E9">
        <w:rPr>
          <w:rFonts w:ascii="Times New Roman" w:eastAsia="Times New Roman" w:hAnsi="Times New Roman"/>
          <w:sz w:val="24"/>
          <w:szCs w:val="24"/>
          <w:lang w:eastAsia="ru-RU"/>
        </w:rPr>
        <w:t>Поступали нечастые сообщения о затруднениях с глотанием при приеме таблеток севеламера карбоната. Ко многим из этих случаев относились пациенты с сопутствующими заболеваниями, в том числе с нарушениями глотания или нарушениями функционирования пищевода. Следует соблюдать осторожность при применении препарата у пациентов с затруднениями с глотанием.</w:t>
      </w:r>
    </w:p>
    <w:p w14:paraId="4C21E045" w14:textId="77777777" w:rsidR="00605293" w:rsidRPr="00DB5FEE" w:rsidRDefault="00605293" w:rsidP="005F450A">
      <w:pPr>
        <w:widowControl w:val="0"/>
        <w:spacing w:after="0" w:line="240" w:lineRule="auto"/>
        <w:ind w:left="-4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5FEE">
        <w:rPr>
          <w:rFonts w:ascii="Times New Roman" w:eastAsia="Times New Roman" w:hAnsi="Times New Roman"/>
          <w:i/>
          <w:sz w:val="24"/>
          <w:szCs w:val="24"/>
          <w:lang w:eastAsia="ru-RU"/>
        </w:rPr>
        <w:t>Гипотиреоз</w:t>
      </w:r>
    </w:p>
    <w:p w14:paraId="4AA5891D" w14:textId="77777777" w:rsidR="00605293" w:rsidRPr="00605293" w:rsidRDefault="00605293" w:rsidP="005F450A">
      <w:pPr>
        <w:widowControl w:val="0"/>
        <w:spacing w:after="0" w:line="240" w:lineRule="auto"/>
        <w:ind w:left="-4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Рекомендуется более внимательный мониторинг у пациентов с гипотиреозом при одновременном назначении севеламера карбоната и левотироксина (см. раздел 4.5). </w:t>
      </w:r>
    </w:p>
    <w:p w14:paraId="4B89F367" w14:textId="77777777" w:rsidR="00605293" w:rsidRPr="00DB5FEE" w:rsidRDefault="00605293" w:rsidP="005F450A">
      <w:pPr>
        <w:widowControl w:val="0"/>
        <w:spacing w:after="0" w:line="240" w:lineRule="auto"/>
        <w:ind w:left="-4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5FE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Гиперпаратиреоз </w:t>
      </w:r>
    </w:p>
    <w:p w14:paraId="064B9668" w14:textId="77777777" w:rsidR="00605293" w:rsidRPr="00605293" w:rsidRDefault="00605293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>Севеламера карбон</w:t>
      </w:r>
      <w:r w:rsidR="004675E2">
        <w:rPr>
          <w:rFonts w:ascii="Times New Roman" w:eastAsia="Times New Roman" w:hAnsi="Times New Roman"/>
          <w:sz w:val="24"/>
          <w:szCs w:val="24"/>
          <w:lang w:eastAsia="ru-RU"/>
        </w:rPr>
        <w:t xml:space="preserve">ат не показан для </w:t>
      </w:r>
      <w:r w:rsidR="004675E2" w:rsidRPr="00A06EE5">
        <w:rPr>
          <w:rFonts w:ascii="Times New Roman" w:eastAsia="Times New Roman" w:hAnsi="Times New Roman"/>
          <w:sz w:val="24"/>
          <w:szCs w:val="24"/>
          <w:lang w:eastAsia="ru-RU"/>
        </w:rPr>
        <w:t>контрол</w:t>
      </w:r>
      <w:r w:rsidRPr="00A06EE5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 xml:space="preserve"> гиперпаратиреоза. У пациентов с вторичным гиперпаратиреозом севеламера карбонат следует применять в составе комбинированной терапии, которая может включать препараты кальция в качестве добавок, 1,25-дигидроксивитамин D</w:t>
      </w:r>
      <w:r w:rsidRPr="00605293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3</w:t>
      </w: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один из его аналогов с целью снижения уровней интактного паратиреоидного гормона (иПТГ).</w:t>
      </w:r>
    </w:p>
    <w:p w14:paraId="1CD5BB0C" w14:textId="77777777" w:rsidR="00605293" w:rsidRPr="00DB5FEE" w:rsidRDefault="00605293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5FE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Воспалительные желудочно-кишечные расстройства </w:t>
      </w:r>
    </w:p>
    <w:p w14:paraId="4E7575BA" w14:textId="77777777" w:rsidR="000A15B0" w:rsidRPr="00605293" w:rsidRDefault="00605293" w:rsidP="005F45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 xml:space="preserve">В литературе сообщалось о случаях серьезных воспалительных расстройств различных отделов желудочно-кишечного тракта (включая такие серьезные осложнения, как кровотечение, перфорация/прободение, изъязвление, некроз, колит), ассоциированных с присутствием кристаллов севеламера. </w:t>
      </w:r>
      <w:r w:rsidR="008B51D0" w:rsidRPr="008B51D0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Воспалительные заболевания прекращались после отмены приема препарата. </w:t>
      </w:r>
      <w:r w:rsidRPr="00605293">
        <w:rPr>
          <w:rFonts w:ascii="Times New Roman" w:eastAsia="Times New Roman" w:hAnsi="Times New Roman"/>
          <w:sz w:val="24"/>
          <w:szCs w:val="24"/>
          <w:lang w:eastAsia="ru-RU"/>
        </w:rPr>
        <w:t>Лечение севеламера карбонатом следует переоценить у пациентов с тяжелыми желудочно-кишечными симптомами.</w:t>
      </w:r>
    </w:p>
    <w:p w14:paraId="0B324D85" w14:textId="77777777" w:rsidR="00605293" w:rsidRPr="00B56C94" w:rsidRDefault="00605293" w:rsidP="005F45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3D49ED7" w14:textId="77777777" w:rsidR="007D0E84" w:rsidRPr="00B56C94" w:rsidRDefault="00DB406A" w:rsidP="005F45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Взаимодействия с другими лекарственными препаратами</w:t>
      </w:r>
      <w:r w:rsidR="005D66F3"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другие виды взаимодействия</w:t>
      </w:r>
    </w:p>
    <w:p w14:paraId="2EDE6870" w14:textId="77777777" w:rsidR="00AE4058" w:rsidRPr="00DB5FEE" w:rsidRDefault="00AE4058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</w:pPr>
      <w:r w:rsidRPr="00DB5FEE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Диализ</w:t>
      </w:r>
    </w:p>
    <w:p w14:paraId="25594B5C" w14:textId="77777777" w:rsidR="00AE4058" w:rsidRPr="00AE4058" w:rsidRDefault="00AE4058" w:rsidP="005F4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058">
        <w:rPr>
          <w:rFonts w:ascii="Times New Roman" w:eastAsia="Times New Roman" w:hAnsi="Times New Roman"/>
          <w:sz w:val="24"/>
          <w:szCs w:val="24"/>
          <w:lang w:eastAsia="ru-RU"/>
        </w:rPr>
        <w:t>Исследования взаимодействия у пациентов, получающих диализ, не проводились.</w:t>
      </w:r>
    </w:p>
    <w:p w14:paraId="6DACC483" w14:textId="77777777" w:rsidR="00AE4058" w:rsidRPr="00DB5FEE" w:rsidRDefault="00AE4058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5FE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Ципрофлоксацин </w:t>
      </w:r>
    </w:p>
    <w:p w14:paraId="17FBC95B" w14:textId="77777777" w:rsidR="00AE4058" w:rsidRPr="00AE4058" w:rsidRDefault="00AE4058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058">
        <w:rPr>
          <w:rFonts w:ascii="Times New Roman" w:eastAsia="Times New Roman" w:hAnsi="Times New Roman"/>
          <w:sz w:val="24"/>
          <w:szCs w:val="24"/>
          <w:lang w:eastAsia="ru-RU"/>
        </w:rPr>
        <w:t xml:space="preserve">В исследованиях взаимодействия у здоровых добровольцев севеламера гидрохлорид, который содержит ту же активную часть молекулы, что и севеламера карбонат, снижал биодоступность ципрофлоксацина примерно на 50% при совместном применении с севеламер гидрохлоридом в исследовании однократных доз. Следовательно, севеламера карбонат нельзя принимать одновременно с ципрофлоксацином. </w:t>
      </w:r>
    </w:p>
    <w:p w14:paraId="316873F6" w14:textId="77777777" w:rsidR="00AE4058" w:rsidRPr="00DB5FEE" w:rsidRDefault="00AE4058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5FE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Циклоспорин, микофенолата мофетил и такролимус у пациентов после трансплантации </w:t>
      </w:r>
    </w:p>
    <w:p w14:paraId="0F357E49" w14:textId="77777777" w:rsidR="00AE4058" w:rsidRPr="00AE4058" w:rsidRDefault="00AE4058" w:rsidP="005F4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058">
        <w:rPr>
          <w:rFonts w:ascii="Times New Roman" w:eastAsia="Times New Roman" w:hAnsi="Times New Roman"/>
          <w:sz w:val="24"/>
          <w:szCs w:val="24"/>
          <w:lang w:eastAsia="ru-RU"/>
        </w:rPr>
        <w:t xml:space="preserve">Снижение уровней циклоспорина, микофенолата мофетила и такролимуса было отмечено у пациентов </w:t>
      </w:r>
      <w:r w:rsidR="00F902DD" w:rsidRPr="00F902DD">
        <w:rPr>
          <w:rFonts w:ascii="Times New Roman" w:eastAsia="Times New Roman" w:hAnsi="Times New Roman"/>
          <w:sz w:val="24"/>
          <w:szCs w:val="24"/>
          <w:lang w:eastAsia="ru-RU"/>
        </w:rPr>
        <w:t>после трансплантации</w:t>
      </w:r>
      <w:r w:rsidRPr="00AE405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совместном применении с севеламера гидрохлоридом без каких-либо клинических последствий (например, отторжение трансплантата). Нельзя исключать вероятность взаимодействия, и поэтому необходимо рассмотреть возможность ведения тщательного мониторинга концентраций циклоспорина, микофенолата мофетила и такролимуса в крови во время применения указанной комбинации, а также после ее отмены. </w:t>
      </w:r>
    </w:p>
    <w:p w14:paraId="123A68CD" w14:textId="77777777" w:rsidR="00AE4058" w:rsidRPr="00DB5FEE" w:rsidRDefault="00AE4058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5FE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Левотироксин </w:t>
      </w:r>
    </w:p>
    <w:p w14:paraId="65D32F60" w14:textId="77777777" w:rsidR="00AE4058" w:rsidRPr="00AE4058" w:rsidRDefault="00AE4058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058">
        <w:rPr>
          <w:rFonts w:ascii="Times New Roman" w:eastAsia="Times New Roman" w:hAnsi="Times New Roman"/>
          <w:sz w:val="24"/>
          <w:szCs w:val="24"/>
          <w:lang w:eastAsia="ru-RU"/>
        </w:rPr>
        <w:t>Очень редкие случаи гипотиреоза были зарегистрированы у пациентов, которые одновременно получали севеламера гидрохлорид, который содержит ту же активную часть молекулы, что и севеламера карбонат, и левотироксин. Поэтому рекомендуется более внимательный мониторинг уровней тиреостимулирующего гормона (ТТГ) у пациентов, получающих севеламера карбонат совместно с левотироксином.</w:t>
      </w:r>
    </w:p>
    <w:p w14:paraId="71CD6AD6" w14:textId="77777777" w:rsidR="00AE4058" w:rsidRPr="00DB5FEE" w:rsidRDefault="009455DA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5FEE">
        <w:rPr>
          <w:rFonts w:ascii="Times New Roman" w:eastAsia="Times New Roman" w:hAnsi="Times New Roman"/>
          <w:i/>
          <w:sz w:val="24"/>
          <w:szCs w:val="24"/>
          <w:lang w:eastAsia="ru-RU"/>
        </w:rPr>
        <w:t>Анти</w:t>
      </w:r>
      <w:r w:rsidR="00AE4058" w:rsidRPr="00DB5FE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аритмические и противосудорожные (противоэпилептические) лекарственные средства </w:t>
      </w:r>
    </w:p>
    <w:p w14:paraId="70888255" w14:textId="77777777" w:rsidR="00AE4058" w:rsidRPr="00AE4058" w:rsidRDefault="00AE4058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05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Пациенты, принимающи</w:t>
      </w:r>
      <w:r w:rsidR="00FE2FB4">
        <w:rPr>
          <w:rFonts w:ascii="Times New Roman" w:eastAsia="Times New Roman" w:hAnsi="Times New Roman"/>
          <w:sz w:val="24"/>
          <w:szCs w:val="24"/>
          <w:lang w:eastAsia="ru-RU"/>
        </w:rPr>
        <w:t>е анти</w:t>
      </w:r>
      <w:r w:rsidRPr="00AE4058">
        <w:rPr>
          <w:rFonts w:ascii="Times New Roman" w:eastAsia="Times New Roman" w:hAnsi="Times New Roman"/>
          <w:sz w:val="24"/>
          <w:szCs w:val="24"/>
          <w:lang w:eastAsia="ru-RU"/>
        </w:rPr>
        <w:t xml:space="preserve">аритмические лекарственные средства для контроля аритмий и противосудорожные (противоэпилептические) лекарственные средства для контроля судорожных расстройств (эпилепсии), исключались из клинических испытаний. Следует соблюдать осторожность при назначении севеламера карбоната пациентам, также принимающим эти лекарственные средства. </w:t>
      </w:r>
    </w:p>
    <w:p w14:paraId="3FFCFAFA" w14:textId="77777777" w:rsidR="00AE4058" w:rsidRPr="00DB5FEE" w:rsidRDefault="00AE4058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5FE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Дигоксин, варфарин, эналаприл или метопролол </w:t>
      </w:r>
    </w:p>
    <w:p w14:paraId="67352BA6" w14:textId="77777777" w:rsidR="00AE4058" w:rsidRPr="00AE4058" w:rsidRDefault="00AE4058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058">
        <w:rPr>
          <w:rFonts w:ascii="Times New Roman" w:eastAsia="Times New Roman" w:hAnsi="Times New Roman"/>
          <w:sz w:val="24"/>
          <w:szCs w:val="24"/>
          <w:lang w:eastAsia="ru-RU"/>
        </w:rPr>
        <w:t xml:space="preserve">В исследованиях взаимодействия у здоровых добровольцев севеламер гидрохлорид, который содержит ту же активную часть молекулы, что и севеламера карбонат, не влиял на биодоступность дигоксина, варфарина, эналаприла или метопролола. </w:t>
      </w:r>
    </w:p>
    <w:p w14:paraId="7DD86F8B" w14:textId="77777777" w:rsidR="00AE4058" w:rsidRPr="00DB5FEE" w:rsidRDefault="00AE4058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5FEE">
        <w:rPr>
          <w:rFonts w:ascii="Times New Roman" w:eastAsia="Times New Roman" w:hAnsi="Times New Roman"/>
          <w:i/>
          <w:sz w:val="24"/>
          <w:szCs w:val="24"/>
          <w:lang w:eastAsia="ru-RU"/>
        </w:rPr>
        <w:t>Ингибиторы протонового насоса</w:t>
      </w:r>
    </w:p>
    <w:p w14:paraId="733C2B71" w14:textId="77777777" w:rsidR="00AE4058" w:rsidRPr="00AE4058" w:rsidRDefault="00EF3EDF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6EE5">
        <w:rPr>
          <w:rFonts w:ascii="Times New Roman" w:eastAsia="Times New Roman" w:hAnsi="Times New Roman"/>
          <w:sz w:val="24"/>
          <w:szCs w:val="24"/>
          <w:lang w:eastAsia="ru-RU"/>
        </w:rPr>
        <w:t>В рамках пострегистрационного применения</w:t>
      </w:r>
      <w:r w:rsidR="00AE4058" w:rsidRPr="00A06EE5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препарата были отмечены очень редкие случаи повышенных уровней фосфатов у пациентов, </w:t>
      </w:r>
      <w:r w:rsidR="00580092" w:rsidRPr="00A06EE5">
        <w:rPr>
          <w:rFonts w:ascii="Times New Roman" w:eastAsia="Times New Roman" w:hAnsi="Times New Roman"/>
          <w:sz w:val="24"/>
          <w:szCs w:val="24"/>
          <w:lang w:eastAsia="ru-RU"/>
        </w:rPr>
        <w:t xml:space="preserve">совместно </w:t>
      </w:r>
      <w:r w:rsidR="00AE4058" w:rsidRPr="00A06EE5">
        <w:rPr>
          <w:rFonts w:ascii="Times New Roman" w:eastAsia="Times New Roman" w:hAnsi="Times New Roman"/>
          <w:sz w:val="24"/>
          <w:szCs w:val="24"/>
          <w:lang w:eastAsia="ru-RU"/>
        </w:rPr>
        <w:t>принимавших ингибиторы протонового насоса</w:t>
      </w:r>
      <w:r w:rsidR="00580092" w:rsidRPr="00A06EE5">
        <w:rPr>
          <w:rFonts w:ascii="Times New Roman" w:eastAsia="Times New Roman" w:hAnsi="Times New Roman"/>
          <w:sz w:val="24"/>
          <w:szCs w:val="24"/>
          <w:lang w:eastAsia="ru-RU"/>
        </w:rPr>
        <w:t xml:space="preserve"> и севеламера карбонат</w:t>
      </w:r>
      <w:r w:rsidR="00AE4058" w:rsidRPr="00A06EE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E4058" w:rsidRPr="00AE40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65B894E" w14:textId="77777777" w:rsidR="00AE4058" w:rsidRPr="00DB5FEE" w:rsidRDefault="00AE4058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5FE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Биодоступность </w:t>
      </w:r>
    </w:p>
    <w:p w14:paraId="60AF6DE5" w14:textId="77777777" w:rsidR="00CE7F7F" w:rsidRPr="00AE4058" w:rsidRDefault="00AE4058" w:rsidP="005F45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4058">
        <w:rPr>
          <w:rFonts w:ascii="Times New Roman" w:eastAsia="Times New Roman" w:hAnsi="Times New Roman"/>
          <w:sz w:val="24"/>
          <w:szCs w:val="24"/>
          <w:lang w:eastAsia="ru-RU"/>
        </w:rPr>
        <w:t xml:space="preserve">Севеламера карбонат не абсорбируется и может </w:t>
      </w:r>
      <w:r w:rsidR="00CE6EED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Pr="00AE4058">
        <w:rPr>
          <w:rFonts w:ascii="Times New Roman" w:eastAsia="Times New Roman" w:hAnsi="Times New Roman"/>
          <w:sz w:val="24"/>
          <w:szCs w:val="24"/>
          <w:lang w:eastAsia="ru-RU"/>
        </w:rPr>
        <w:t>влиять на биодоступность других лекарственных препаратов. При применении любо</w:t>
      </w:r>
      <w:r w:rsidR="009372DB">
        <w:rPr>
          <w:rFonts w:ascii="Times New Roman" w:eastAsia="Times New Roman" w:hAnsi="Times New Roman"/>
          <w:sz w:val="24"/>
          <w:szCs w:val="24"/>
          <w:lang w:eastAsia="ru-RU"/>
        </w:rPr>
        <w:t>го лекарственного средства</w:t>
      </w:r>
      <w:r w:rsidR="009372DB" w:rsidRPr="009372DB">
        <w:rPr>
          <w:rFonts w:ascii="Times New Roman" w:eastAsia="Times New Roman" w:hAnsi="Times New Roman"/>
          <w:sz w:val="24"/>
          <w:szCs w:val="24"/>
          <w:lang w:eastAsia="ru-RU"/>
        </w:rPr>
        <w:t>, снижение биодоступности которого может оказать клинически значимое воздействие на безопасность или эффективность</w:t>
      </w:r>
      <w:r w:rsidRPr="00AE4058">
        <w:rPr>
          <w:rFonts w:ascii="Times New Roman" w:eastAsia="Times New Roman" w:hAnsi="Times New Roman"/>
          <w:sz w:val="24"/>
          <w:szCs w:val="24"/>
          <w:lang w:eastAsia="ru-RU"/>
        </w:rPr>
        <w:t>, такой лекарственный препарат следует применять не менее чем за час до или через три часа после приема севеламера карбоната, или врач должен рассмотреть возможность мониторинга уровней в крови.</w:t>
      </w:r>
    </w:p>
    <w:p w14:paraId="4517CDFF" w14:textId="77777777" w:rsidR="00DB5FEE" w:rsidRDefault="00DB5FEE" w:rsidP="005F45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D468761" w14:textId="77777777" w:rsidR="00B05BD1" w:rsidRPr="00B56C94" w:rsidRDefault="00B05BD1" w:rsidP="005F45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4.6 Фертильность, беременность и лактация.</w:t>
      </w:r>
    </w:p>
    <w:p w14:paraId="55C4629D" w14:textId="77777777" w:rsidR="00B05BD1" w:rsidRDefault="00B05BD1" w:rsidP="005F450A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56C94">
        <w:rPr>
          <w:rFonts w:ascii="Times New Roman" w:hAnsi="Times New Roman"/>
          <w:i/>
          <w:color w:val="000000"/>
          <w:sz w:val="24"/>
          <w:szCs w:val="24"/>
        </w:rPr>
        <w:t>Беременность</w:t>
      </w:r>
    </w:p>
    <w:p w14:paraId="6A07FAB9" w14:textId="77777777" w:rsidR="002978D0" w:rsidRPr="002978D0" w:rsidRDefault="002978D0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8D0">
        <w:rPr>
          <w:rFonts w:ascii="Times New Roman" w:eastAsia="Times New Roman" w:hAnsi="Times New Roman"/>
          <w:sz w:val="24"/>
          <w:szCs w:val="24"/>
          <w:lang w:eastAsia="ru-RU"/>
        </w:rPr>
        <w:t>Данные о применении севеламера у беременных женщин отсутствую</w:t>
      </w:r>
      <w:r w:rsidR="00E4588B">
        <w:rPr>
          <w:rFonts w:ascii="Times New Roman" w:eastAsia="Times New Roman" w:hAnsi="Times New Roman"/>
          <w:sz w:val="24"/>
          <w:szCs w:val="24"/>
          <w:lang w:eastAsia="ru-RU"/>
        </w:rPr>
        <w:t xml:space="preserve">т или ограничены. </w:t>
      </w:r>
      <w:r w:rsidR="00C5411D" w:rsidRPr="00C5411D"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Исследования на животных показали некоторую репродуктивную токсичность при введении севеламера крысам в высоких дозах (см. раздел 5.3). </w:t>
      </w:r>
      <w:r w:rsidRPr="002978D0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было показано, что севеламер снижает абсорбцию некоторых витаминов, включая фолиевую кислоту (см. разделы 4.4 и 5.3). Потенциальный риск для человека неизвестен. Севеламера карбонат следует назначать беременным женщинам только при явной необходимости в его применении и после тщательного анализа риска/пользы как для матери, так и для плода. </w:t>
      </w:r>
    </w:p>
    <w:p w14:paraId="4F2A754E" w14:textId="77777777" w:rsidR="00B05BD1" w:rsidRDefault="00B05BD1" w:rsidP="005F450A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56C94">
        <w:rPr>
          <w:rFonts w:ascii="Times New Roman" w:hAnsi="Times New Roman"/>
          <w:i/>
          <w:color w:val="000000"/>
          <w:sz w:val="24"/>
          <w:szCs w:val="24"/>
        </w:rPr>
        <w:t>Кормление грудью</w:t>
      </w:r>
    </w:p>
    <w:p w14:paraId="2AE312F8" w14:textId="77777777" w:rsidR="002978D0" w:rsidRPr="002978D0" w:rsidRDefault="00B357C2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57C2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Данных о выделении севеламера/метаболитов с грудным молоком нет. </w:t>
      </w:r>
      <w:r w:rsidR="002978D0" w:rsidRPr="002978D0">
        <w:rPr>
          <w:rFonts w:ascii="Times New Roman" w:eastAsia="Times New Roman" w:hAnsi="Times New Roman"/>
          <w:sz w:val="24"/>
          <w:szCs w:val="24"/>
          <w:lang w:eastAsia="ru-RU"/>
        </w:rPr>
        <w:t xml:space="preserve">Неабсорбирующаяся природа севеламера указывает на то, что проникновение севеламера в грудное молоко маловероятно. Решение о том, следует ли продолжить/прекратить грудное вскармливание или продолжить/прекратить терапию севеламера карбонатом, следует принимать с учетом пользы грудного вскармливания для ребенка и пользы от терапии севеламера карбонатом для женщины. </w:t>
      </w:r>
    </w:p>
    <w:p w14:paraId="645B8191" w14:textId="77777777" w:rsidR="00B05BD1" w:rsidRDefault="00B05BD1" w:rsidP="005F450A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56C94">
        <w:rPr>
          <w:rFonts w:ascii="Times New Roman" w:hAnsi="Times New Roman"/>
          <w:i/>
          <w:color w:val="000000"/>
          <w:sz w:val="24"/>
          <w:szCs w:val="24"/>
        </w:rPr>
        <w:t>Фертильность</w:t>
      </w:r>
    </w:p>
    <w:p w14:paraId="258690D6" w14:textId="77777777" w:rsidR="002978D0" w:rsidRPr="00E54054" w:rsidRDefault="00E54054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4054">
        <w:rPr>
          <w:rFonts w:ascii="Times New Roman" w:eastAsia="Times New Roman" w:hAnsi="Times New Roman"/>
          <w:sz w:val="24"/>
          <w:szCs w:val="24"/>
          <w:lang w:eastAsia="ru-RU"/>
        </w:rPr>
        <w:t>Нет данных о влиянии севеламера на фертиль</w:t>
      </w:r>
      <w:r w:rsidR="003174CE">
        <w:rPr>
          <w:rFonts w:ascii="Times New Roman" w:eastAsia="Times New Roman" w:hAnsi="Times New Roman"/>
          <w:sz w:val="24"/>
          <w:szCs w:val="24"/>
          <w:lang w:eastAsia="ru-RU"/>
        </w:rPr>
        <w:t>ность у человека. Исследования на</w:t>
      </w:r>
      <w:r w:rsidRPr="00E54054">
        <w:rPr>
          <w:rFonts w:ascii="Times New Roman" w:eastAsia="Times New Roman" w:hAnsi="Times New Roman"/>
          <w:sz w:val="24"/>
          <w:szCs w:val="24"/>
          <w:lang w:eastAsia="ru-RU"/>
        </w:rPr>
        <w:t xml:space="preserve"> животных показали, что севеламер не нарушал фертильность у самцов или самок крыс при воздействии (экспозиции) дозы, эквивалентной в 2 раза превышающей максимальную дозу для человека, использовавшуюся в клинических испытаниях и составлявшую 13 г/сутки н</w:t>
      </w:r>
      <w:r w:rsidR="0077248D">
        <w:rPr>
          <w:rFonts w:ascii="Times New Roman" w:eastAsia="Times New Roman" w:hAnsi="Times New Roman"/>
          <w:sz w:val="24"/>
          <w:szCs w:val="24"/>
          <w:lang w:eastAsia="ru-RU"/>
        </w:rPr>
        <w:t>а основе сравнения относительного</w:t>
      </w:r>
      <w:r w:rsidRPr="00E54054">
        <w:rPr>
          <w:rFonts w:ascii="Times New Roman" w:eastAsia="Times New Roman" w:hAnsi="Times New Roman"/>
          <w:sz w:val="24"/>
          <w:szCs w:val="24"/>
          <w:lang w:eastAsia="ru-RU"/>
        </w:rPr>
        <w:t xml:space="preserve"> ППТ. </w:t>
      </w:r>
    </w:p>
    <w:p w14:paraId="366F3091" w14:textId="77777777" w:rsidR="0078568D" w:rsidRPr="00B56C94" w:rsidRDefault="0078568D" w:rsidP="005F45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2A707CF" w14:textId="77777777" w:rsidR="00CE7F7F" w:rsidRPr="00B56C94" w:rsidRDefault="00DB406A" w:rsidP="005F450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05BD1"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Влияние на способность управлять транспортными средствами и </w:t>
      </w:r>
      <w:r w:rsidR="00CE7F7F" w:rsidRPr="00B56C94">
        <w:rPr>
          <w:rFonts w:ascii="Times New Roman" w:hAnsi="Times New Roman"/>
          <w:b/>
          <w:sz w:val="24"/>
          <w:szCs w:val="24"/>
        </w:rPr>
        <w:t>потенциально опасными механизмами</w:t>
      </w:r>
      <w:r w:rsidR="00CE7F7F"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7" w:name="2175220282"/>
    </w:p>
    <w:p w14:paraId="3CE387EF" w14:textId="77777777" w:rsidR="00D731C9" w:rsidRDefault="003636AE" w:rsidP="005F45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36AE">
        <w:rPr>
          <w:rFonts w:ascii="Times New Roman" w:eastAsia="Times New Roman" w:hAnsi="Times New Roman"/>
          <w:sz w:val="24"/>
          <w:szCs w:val="24"/>
          <w:lang w:eastAsia="ru-RU"/>
        </w:rPr>
        <w:t>Севеламер не оказывает или имеет незначительное влияние на способность управлять транспортными средствами и потенциально опасными механизмами.</w:t>
      </w:r>
    </w:p>
    <w:p w14:paraId="7FE2BFB3" w14:textId="77777777" w:rsidR="003636AE" w:rsidRPr="00B56C94" w:rsidRDefault="003636AE" w:rsidP="005F45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8E13B1A" w14:textId="77777777" w:rsidR="009D67EC" w:rsidRPr="00B56C94" w:rsidRDefault="009D67EC" w:rsidP="005F450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4.8 Нежелательные реакции</w:t>
      </w:r>
      <w:bookmarkEnd w:id="7"/>
    </w:p>
    <w:p w14:paraId="33A51EB3" w14:textId="77777777" w:rsidR="00634C9D" w:rsidRPr="00DB5FEE" w:rsidRDefault="00634C9D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5FE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Резюме профиля безопасности </w:t>
      </w:r>
    </w:p>
    <w:p w14:paraId="60979317" w14:textId="77777777" w:rsidR="00634C9D" w:rsidRPr="00634C9D" w:rsidRDefault="00226060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Gungsuh" w:hAnsi="Times New Roman"/>
          <w:sz w:val="24"/>
          <w:szCs w:val="24"/>
          <w:lang w:eastAsia="ru-RU"/>
        </w:rPr>
        <w:lastRenderedPageBreak/>
        <w:t>Наиболее часто появлявшиеся (≥</w:t>
      </w:r>
      <w:r w:rsidR="00634C9D" w:rsidRPr="00634C9D">
        <w:rPr>
          <w:rFonts w:ascii="Times New Roman" w:eastAsia="Gungsuh" w:hAnsi="Times New Roman"/>
          <w:sz w:val="24"/>
          <w:szCs w:val="24"/>
          <w:lang w:eastAsia="ru-RU"/>
        </w:rPr>
        <w:t xml:space="preserve">5% пациентов) нежелательные реакции были связаны с классом системы органов «Расстройства со стороны желудочно-кишечной системы». Большинство из этих нежелательных реакций были от легкой до умеренной интенсивности. </w:t>
      </w:r>
    </w:p>
    <w:p w14:paraId="31F2BFEF" w14:textId="77777777" w:rsidR="00634C9D" w:rsidRPr="00634C9D" w:rsidRDefault="00634C9D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4C9D">
        <w:rPr>
          <w:rFonts w:ascii="Times New Roman" w:eastAsia="Times New Roman" w:hAnsi="Times New Roman"/>
          <w:sz w:val="24"/>
          <w:szCs w:val="24"/>
          <w:lang w:eastAsia="ru-RU"/>
        </w:rPr>
        <w:t>Безопасность севеламера (как карбонатной, так и гидрохлоридной солей) была исследована в многочисленных клинических исследованиях с участием 969 пациентов, находящихся на гемодиализе, с продолжительностью лечения от 4 до 50 недель (724 пациента, получавших, севеламера гидрохлорид, и 245 пациента, получавших севеламера карбонат), 97 пациентов, находящихся на перитонеальном диализе, с продолжительностью лечения 12 недель (все получали севеламера ги</w:t>
      </w:r>
      <w:r w:rsidR="00923329">
        <w:rPr>
          <w:rFonts w:ascii="Times New Roman" w:eastAsia="Times New Roman" w:hAnsi="Times New Roman"/>
          <w:sz w:val="24"/>
          <w:szCs w:val="24"/>
          <w:lang w:eastAsia="ru-RU"/>
        </w:rPr>
        <w:t>дрохлорид) и 128 пациентов с ХБП</w:t>
      </w:r>
      <w:r w:rsidRPr="00634C9D">
        <w:rPr>
          <w:rFonts w:ascii="Times New Roman" w:eastAsia="Times New Roman" w:hAnsi="Times New Roman"/>
          <w:sz w:val="24"/>
          <w:szCs w:val="24"/>
          <w:lang w:eastAsia="ru-RU"/>
        </w:rPr>
        <w:t>, не находящихся на диализе, с продолжительностью лечения от 8 до 12 недель (79 пациентов, получавших севеламера гидрохлорид, и 49 пациентов, получавших севеламера карбонат).</w:t>
      </w:r>
    </w:p>
    <w:p w14:paraId="48BA00DA" w14:textId="77777777" w:rsidR="00634C9D" w:rsidRPr="00634C9D" w:rsidRDefault="00634C9D" w:rsidP="005F450A">
      <w:pPr>
        <w:widowControl w:val="0"/>
        <w:spacing w:after="0" w:line="240" w:lineRule="auto"/>
        <w:jc w:val="both"/>
        <w:rPr>
          <w:rFonts w:ascii="Times New Roman" w:eastAsia="Gungsuh" w:hAnsi="Times New Roman"/>
          <w:sz w:val="24"/>
          <w:szCs w:val="24"/>
          <w:lang w:eastAsia="ru-RU"/>
        </w:rPr>
      </w:pPr>
      <w:r w:rsidRPr="00634C9D">
        <w:rPr>
          <w:rFonts w:ascii="Times New Roman" w:eastAsia="Gungsuh" w:hAnsi="Times New Roman"/>
          <w:sz w:val="24"/>
          <w:szCs w:val="24"/>
          <w:lang w:eastAsia="ru-RU"/>
        </w:rPr>
        <w:t>Нежелательные реакции, которые были зарегистрированы во время клинических испытаний или описывались в спонтанных сообщениях</w:t>
      </w:r>
      <w:r>
        <w:rPr>
          <w:rFonts w:ascii="Times New Roman" w:eastAsia="Gungsuh" w:hAnsi="Times New Roman"/>
          <w:sz w:val="24"/>
          <w:szCs w:val="24"/>
          <w:lang w:eastAsia="ru-RU"/>
        </w:rPr>
        <w:t xml:space="preserve"> в ходе опыта применения в пост</w:t>
      </w:r>
      <w:r w:rsidRPr="00634C9D">
        <w:rPr>
          <w:rFonts w:ascii="Times New Roman" w:eastAsia="Gungsuh" w:hAnsi="Times New Roman"/>
          <w:sz w:val="24"/>
          <w:szCs w:val="24"/>
          <w:lang w:eastAsia="ru-RU"/>
        </w:rPr>
        <w:t>регистрационный период, пере</w:t>
      </w:r>
      <w:r>
        <w:rPr>
          <w:rFonts w:ascii="Times New Roman" w:eastAsia="Gungsuh" w:hAnsi="Times New Roman"/>
          <w:sz w:val="24"/>
          <w:szCs w:val="24"/>
          <w:lang w:eastAsia="ru-RU"/>
        </w:rPr>
        <w:t>числены</w:t>
      </w:r>
      <w:r w:rsidR="00D51654">
        <w:rPr>
          <w:rFonts w:ascii="Times New Roman" w:eastAsia="Gungsuh" w:hAnsi="Times New Roman"/>
          <w:sz w:val="24"/>
          <w:szCs w:val="24"/>
          <w:lang w:eastAsia="ru-RU"/>
        </w:rPr>
        <w:t xml:space="preserve"> ниже</w:t>
      </w:r>
      <w:r w:rsidR="00D51654" w:rsidRPr="00D51654">
        <w:rPr>
          <w:rFonts w:ascii="Times New Roman" w:eastAsia="Gungsuh" w:hAnsi="Times New Roman"/>
          <w:sz w:val="24"/>
          <w:szCs w:val="24"/>
          <w:lang w:eastAsia="ru-RU"/>
        </w:rPr>
        <w:t xml:space="preserve"> в </w:t>
      </w:r>
      <w:r w:rsidR="00D51654">
        <w:rPr>
          <w:rFonts w:ascii="Times New Roman" w:eastAsia="Gungsuh" w:hAnsi="Times New Roman"/>
          <w:sz w:val="24"/>
          <w:szCs w:val="24"/>
          <w:lang w:eastAsia="ru-RU"/>
        </w:rPr>
        <w:t>зависимости от частоты развития</w:t>
      </w:r>
      <w:r w:rsidRPr="00634C9D">
        <w:rPr>
          <w:rFonts w:ascii="Times New Roman" w:eastAsia="Gungsuh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Gungsuh" w:hAnsi="Times New Roman"/>
          <w:sz w:val="24"/>
          <w:szCs w:val="24"/>
          <w:lang w:eastAsia="ru-RU"/>
        </w:rPr>
        <w:t>Частоту</w:t>
      </w:r>
      <w:r w:rsidRPr="00634C9D">
        <w:rPr>
          <w:rFonts w:ascii="Times New Roman" w:eastAsia="Gungsuh" w:hAnsi="Times New Roman"/>
          <w:sz w:val="24"/>
          <w:szCs w:val="24"/>
          <w:lang w:eastAsia="ru-RU"/>
        </w:rPr>
        <w:t xml:space="preserve"> </w:t>
      </w:r>
      <w:r w:rsidR="00B634CD">
        <w:rPr>
          <w:rFonts w:ascii="Times New Roman" w:eastAsia="Gungsuh" w:hAnsi="Times New Roman"/>
          <w:sz w:val="24"/>
          <w:szCs w:val="24"/>
          <w:lang w:eastAsia="ru-RU"/>
        </w:rPr>
        <w:t>сообщений</w:t>
      </w:r>
      <w:r>
        <w:rPr>
          <w:rFonts w:ascii="Times New Roman" w:eastAsia="Gungsuh" w:hAnsi="Times New Roman"/>
          <w:sz w:val="24"/>
          <w:szCs w:val="24"/>
          <w:lang w:eastAsia="ru-RU"/>
        </w:rPr>
        <w:t xml:space="preserve"> классифицируют</w:t>
      </w:r>
      <w:r w:rsidRPr="00634C9D">
        <w:rPr>
          <w:rFonts w:ascii="Times New Roman" w:eastAsia="Gungsuh" w:hAnsi="Times New Roman"/>
          <w:sz w:val="24"/>
          <w:szCs w:val="24"/>
          <w:lang w:eastAsia="ru-RU"/>
        </w:rPr>
        <w:t xml:space="preserve"> сле</w:t>
      </w:r>
      <w:r w:rsidR="00226060">
        <w:rPr>
          <w:rFonts w:ascii="Times New Roman" w:eastAsia="Gungsuh" w:hAnsi="Times New Roman"/>
          <w:sz w:val="24"/>
          <w:szCs w:val="24"/>
          <w:lang w:eastAsia="ru-RU"/>
        </w:rPr>
        <w:t>дующим образом: очень частые (≥1/10), частые (от ≥1/100 до &lt;1/10), нечастые (от ≥</w:t>
      </w:r>
      <w:r w:rsidRPr="00634C9D">
        <w:rPr>
          <w:rFonts w:ascii="Times New Roman" w:eastAsia="Gungsuh" w:hAnsi="Times New Roman"/>
          <w:sz w:val="24"/>
          <w:szCs w:val="24"/>
          <w:lang w:eastAsia="ru-RU"/>
        </w:rPr>
        <w:t>1/1000 до &lt;</w:t>
      </w:r>
      <w:r w:rsidR="00226060">
        <w:rPr>
          <w:rFonts w:ascii="Times New Roman" w:eastAsia="Gungsuh" w:hAnsi="Times New Roman"/>
          <w:sz w:val="24"/>
          <w:szCs w:val="24"/>
          <w:lang w:eastAsia="ru-RU"/>
        </w:rPr>
        <w:t>1/100), редкие (от ≥1/10000 до &lt;1/1000), очень редкие (&lt;</w:t>
      </w:r>
      <w:r w:rsidRPr="00634C9D">
        <w:rPr>
          <w:rFonts w:ascii="Times New Roman" w:eastAsia="Gungsuh" w:hAnsi="Times New Roman"/>
          <w:sz w:val="24"/>
          <w:szCs w:val="24"/>
          <w:lang w:eastAsia="ru-RU"/>
        </w:rPr>
        <w:t>1/10000), неизвестно (невозможно оценить на основании имеющихся данных).</w:t>
      </w:r>
    </w:p>
    <w:p w14:paraId="22BF7A8C" w14:textId="77777777" w:rsidR="004A587B" w:rsidRDefault="0005242A" w:rsidP="005F450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5242A">
        <w:rPr>
          <w:rFonts w:ascii="Times New Roman" w:hAnsi="Times New Roman"/>
          <w:i/>
          <w:sz w:val="24"/>
          <w:szCs w:val="24"/>
        </w:rPr>
        <w:t xml:space="preserve">Расстройства со стороны иммунной системы: </w:t>
      </w:r>
    </w:p>
    <w:p w14:paraId="26CD0E0D" w14:textId="77777777" w:rsidR="004528E1" w:rsidRDefault="0005242A" w:rsidP="005F4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очень редко - п</w:t>
      </w:r>
      <w:r w:rsidRPr="0005242A">
        <w:rPr>
          <w:rFonts w:ascii="Times New Roman" w:hAnsi="Times New Roman"/>
          <w:sz w:val="24"/>
          <w:szCs w:val="24"/>
        </w:rPr>
        <w:t>овышенная чувствительность*</w:t>
      </w:r>
      <w:r>
        <w:rPr>
          <w:rFonts w:ascii="Times New Roman" w:hAnsi="Times New Roman"/>
          <w:sz w:val="24"/>
          <w:szCs w:val="24"/>
        </w:rPr>
        <w:t>.</w:t>
      </w:r>
    </w:p>
    <w:p w14:paraId="23A0BD40" w14:textId="77777777" w:rsidR="004A587B" w:rsidRDefault="0005242A" w:rsidP="005F450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5242A">
        <w:rPr>
          <w:rFonts w:ascii="Times New Roman" w:hAnsi="Times New Roman"/>
          <w:i/>
          <w:sz w:val="24"/>
          <w:szCs w:val="24"/>
        </w:rPr>
        <w:t>Нарушения со ст</w:t>
      </w:r>
      <w:r>
        <w:rPr>
          <w:rFonts w:ascii="Times New Roman" w:hAnsi="Times New Roman"/>
          <w:i/>
          <w:sz w:val="24"/>
          <w:szCs w:val="24"/>
        </w:rPr>
        <w:t>ороны желудочно-кишечного тракта:</w:t>
      </w:r>
    </w:p>
    <w:p w14:paraId="68890063" w14:textId="77777777" w:rsidR="004A587B" w:rsidRDefault="0005242A" w:rsidP="005F4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очень часто - т</w:t>
      </w:r>
      <w:r w:rsidRPr="0005242A">
        <w:rPr>
          <w:rFonts w:ascii="Times New Roman" w:hAnsi="Times New Roman"/>
          <w:sz w:val="24"/>
          <w:szCs w:val="24"/>
        </w:rPr>
        <w:t>ошнота, рвота, боль в верхней части живота, запоры</w:t>
      </w:r>
      <w:r>
        <w:rPr>
          <w:rFonts w:ascii="Times New Roman" w:hAnsi="Times New Roman"/>
          <w:sz w:val="24"/>
          <w:szCs w:val="24"/>
        </w:rPr>
        <w:t xml:space="preserve">; </w:t>
      </w:r>
    </w:p>
    <w:p w14:paraId="6AE0C262" w14:textId="77777777" w:rsidR="0005242A" w:rsidRDefault="0005242A" w:rsidP="005F4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часто - д</w:t>
      </w:r>
      <w:r w:rsidRPr="0005242A">
        <w:rPr>
          <w:rFonts w:ascii="Times New Roman" w:hAnsi="Times New Roman"/>
          <w:sz w:val="24"/>
          <w:szCs w:val="24"/>
        </w:rPr>
        <w:t>иарея, диспепсия, метеоризм, боль в животе</w:t>
      </w:r>
      <w:r>
        <w:rPr>
          <w:rFonts w:ascii="Times New Roman" w:hAnsi="Times New Roman"/>
          <w:sz w:val="24"/>
          <w:szCs w:val="24"/>
        </w:rPr>
        <w:t xml:space="preserve">; </w:t>
      </w:r>
      <w:r w:rsidRPr="0005242A">
        <w:rPr>
          <w:rFonts w:ascii="Times New Roman" w:hAnsi="Times New Roman"/>
          <w:sz w:val="24"/>
          <w:szCs w:val="24"/>
        </w:rPr>
        <w:t>неизвестно (невозможно оценить</w:t>
      </w:r>
      <w:r>
        <w:rPr>
          <w:rFonts w:ascii="Times New Roman" w:hAnsi="Times New Roman"/>
          <w:sz w:val="24"/>
          <w:szCs w:val="24"/>
        </w:rPr>
        <w:t xml:space="preserve"> на основании имеющихся данных) - ф</w:t>
      </w:r>
      <w:r w:rsidRPr="0005242A">
        <w:rPr>
          <w:rFonts w:ascii="Times New Roman" w:hAnsi="Times New Roman"/>
          <w:sz w:val="24"/>
          <w:szCs w:val="24"/>
        </w:rPr>
        <w:t>ункциональная непроходимость кишечника, полная/частичная кишечная непроходимость, перфорация (прободение) кишечника</w:t>
      </w:r>
      <w:r w:rsidR="00F33F71" w:rsidRPr="00F33F71">
        <w:rPr>
          <w:rFonts w:ascii="Times New Roman" w:hAnsi="Times New Roman"/>
          <w:sz w:val="24"/>
          <w:szCs w:val="24"/>
        </w:rPr>
        <w:t>*</w:t>
      </w:r>
      <w:r w:rsidR="00F33F71" w:rsidRPr="00F33F71">
        <w:rPr>
          <w:rFonts w:ascii="Times New Roman" w:hAnsi="Times New Roman"/>
          <w:sz w:val="24"/>
          <w:szCs w:val="24"/>
          <w:vertAlign w:val="superscript"/>
        </w:rPr>
        <w:t>1</w:t>
      </w:r>
      <w:r w:rsidR="00F33F71">
        <w:rPr>
          <w:rFonts w:ascii="Times New Roman" w:hAnsi="Times New Roman"/>
          <w:sz w:val="24"/>
          <w:szCs w:val="24"/>
        </w:rPr>
        <w:t>,</w:t>
      </w:r>
      <w:r w:rsidR="00F33F71" w:rsidRPr="00F33F71">
        <w:rPr>
          <w:rFonts w:ascii="Times New Roman" w:hAnsi="Times New Roman"/>
          <w:sz w:val="24"/>
          <w:szCs w:val="24"/>
        </w:rPr>
        <w:t xml:space="preserve"> желудочно-кишечное кровотечение*</w:t>
      </w:r>
      <w:r w:rsidR="00F33F71" w:rsidRPr="00F33F71">
        <w:rPr>
          <w:rFonts w:ascii="Times New Roman" w:hAnsi="Times New Roman"/>
          <w:sz w:val="24"/>
          <w:szCs w:val="24"/>
          <w:vertAlign w:val="superscript"/>
        </w:rPr>
        <w:t>1</w:t>
      </w:r>
      <w:r w:rsidR="00F33F71" w:rsidRPr="00F33F71">
        <w:rPr>
          <w:rFonts w:ascii="Times New Roman" w:hAnsi="Times New Roman"/>
          <w:sz w:val="24"/>
          <w:szCs w:val="24"/>
        </w:rPr>
        <w:t>, язвы в желудочно-кишечном тракте*</w:t>
      </w:r>
      <w:r w:rsidR="00F33F71" w:rsidRPr="00F33F71">
        <w:rPr>
          <w:rFonts w:ascii="Times New Roman" w:hAnsi="Times New Roman"/>
          <w:sz w:val="24"/>
          <w:szCs w:val="24"/>
          <w:vertAlign w:val="superscript"/>
        </w:rPr>
        <w:t>1</w:t>
      </w:r>
      <w:r w:rsidR="00F33F71" w:rsidRPr="00F33F71">
        <w:rPr>
          <w:rFonts w:ascii="Times New Roman" w:hAnsi="Times New Roman"/>
          <w:sz w:val="24"/>
          <w:szCs w:val="24"/>
        </w:rPr>
        <w:t>, желудочно-кишечный некроз*</w:t>
      </w:r>
      <w:r w:rsidR="00F33F71" w:rsidRPr="00F33F71">
        <w:rPr>
          <w:rFonts w:ascii="Times New Roman" w:hAnsi="Times New Roman"/>
          <w:sz w:val="24"/>
          <w:szCs w:val="24"/>
          <w:vertAlign w:val="superscript"/>
        </w:rPr>
        <w:t>1</w:t>
      </w:r>
      <w:r w:rsidR="00F33F71" w:rsidRPr="00F33F71">
        <w:rPr>
          <w:rFonts w:ascii="Times New Roman" w:hAnsi="Times New Roman"/>
          <w:sz w:val="24"/>
          <w:szCs w:val="24"/>
        </w:rPr>
        <w:t>, колит*</w:t>
      </w:r>
      <w:r w:rsidR="00F33F71" w:rsidRPr="00F33F71">
        <w:rPr>
          <w:rFonts w:ascii="Times New Roman" w:hAnsi="Times New Roman"/>
          <w:sz w:val="24"/>
          <w:szCs w:val="24"/>
          <w:vertAlign w:val="superscript"/>
        </w:rPr>
        <w:t>1</w:t>
      </w:r>
      <w:r w:rsidR="00F33F71" w:rsidRPr="00F33F71">
        <w:rPr>
          <w:rFonts w:ascii="Times New Roman" w:hAnsi="Times New Roman"/>
          <w:sz w:val="24"/>
          <w:szCs w:val="24"/>
        </w:rPr>
        <w:t>, кишечные массы*</w:t>
      </w:r>
      <w:r w:rsidR="00F33F71" w:rsidRPr="00F33F71">
        <w:rPr>
          <w:rFonts w:ascii="Times New Roman" w:hAnsi="Times New Roman"/>
          <w:sz w:val="24"/>
          <w:szCs w:val="24"/>
          <w:vertAlign w:val="superscript"/>
        </w:rPr>
        <w:t>1</w:t>
      </w:r>
    </w:p>
    <w:p w14:paraId="4B8E236F" w14:textId="77777777" w:rsidR="004A587B" w:rsidRDefault="0005242A" w:rsidP="005F450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5242A">
        <w:rPr>
          <w:rFonts w:ascii="Times New Roman" w:hAnsi="Times New Roman"/>
          <w:i/>
          <w:sz w:val="24"/>
          <w:szCs w:val="24"/>
        </w:rPr>
        <w:t>Расстройства со стороны кожи и подкожной ткани</w:t>
      </w:r>
      <w:r>
        <w:rPr>
          <w:rFonts w:ascii="Times New Roman" w:hAnsi="Times New Roman"/>
          <w:i/>
          <w:sz w:val="24"/>
          <w:szCs w:val="24"/>
        </w:rPr>
        <w:t xml:space="preserve">: </w:t>
      </w:r>
    </w:p>
    <w:p w14:paraId="26F240A7" w14:textId="77777777" w:rsidR="0005242A" w:rsidRDefault="0005242A" w:rsidP="005F4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2A">
        <w:rPr>
          <w:rFonts w:ascii="Times New Roman" w:hAnsi="Times New Roman"/>
          <w:sz w:val="24"/>
          <w:szCs w:val="24"/>
        </w:rPr>
        <w:t>неизвестно (невозможно оценить на основании имеющихся данных) -</w:t>
      </w:r>
      <w:r>
        <w:rPr>
          <w:rFonts w:ascii="Times New Roman" w:hAnsi="Times New Roman"/>
          <w:sz w:val="24"/>
          <w:szCs w:val="24"/>
        </w:rPr>
        <w:t xml:space="preserve"> з</w:t>
      </w:r>
      <w:r w:rsidRPr="0005242A">
        <w:rPr>
          <w:rFonts w:ascii="Times New Roman" w:hAnsi="Times New Roman"/>
          <w:sz w:val="24"/>
          <w:szCs w:val="24"/>
        </w:rPr>
        <w:t>уд, сыпь</w:t>
      </w:r>
      <w:r>
        <w:rPr>
          <w:rFonts w:ascii="Times New Roman" w:hAnsi="Times New Roman"/>
          <w:sz w:val="24"/>
          <w:szCs w:val="24"/>
        </w:rPr>
        <w:t>.</w:t>
      </w:r>
    </w:p>
    <w:p w14:paraId="36A70CA7" w14:textId="77777777" w:rsidR="00BB0563" w:rsidRPr="0005242A" w:rsidRDefault="00BB0563" w:rsidP="005F4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9EE">
        <w:rPr>
          <w:rFonts w:ascii="Times New Roman" w:hAnsi="Times New Roman"/>
          <w:i/>
          <w:iCs/>
          <w:sz w:val="24"/>
          <w:szCs w:val="24"/>
        </w:rPr>
        <w:t>Исследования: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BB0563">
        <w:rPr>
          <w:rFonts w:ascii="Times New Roman" w:hAnsi="Times New Roman"/>
          <w:iCs/>
          <w:sz w:val="24"/>
          <w:szCs w:val="24"/>
        </w:rPr>
        <w:t xml:space="preserve">неизвестно (невозможно оценить на основании имеющихся данных) - </w:t>
      </w:r>
      <w:r>
        <w:rPr>
          <w:rFonts w:ascii="Times New Roman" w:hAnsi="Times New Roman"/>
          <w:iCs/>
          <w:sz w:val="24"/>
          <w:szCs w:val="24"/>
        </w:rPr>
        <w:t>в</w:t>
      </w:r>
      <w:r w:rsidRPr="00BB0563">
        <w:rPr>
          <w:rFonts w:ascii="Times New Roman" w:hAnsi="Times New Roman"/>
          <w:iCs/>
          <w:sz w:val="24"/>
          <w:szCs w:val="24"/>
        </w:rPr>
        <w:t>ыкристаллизовывающийся кишечник*</w:t>
      </w:r>
      <w:r w:rsidRPr="00BB0563">
        <w:rPr>
          <w:rFonts w:ascii="Times New Roman" w:hAnsi="Times New Roman"/>
          <w:iCs/>
          <w:sz w:val="24"/>
          <w:szCs w:val="24"/>
          <w:vertAlign w:val="superscript"/>
        </w:rPr>
        <w:t>1</w:t>
      </w:r>
    </w:p>
    <w:p w14:paraId="419D2F2C" w14:textId="77777777" w:rsidR="00BB01F7" w:rsidRPr="00226060" w:rsidRDefault="009773CB" w:rsidP="005F45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26060">
        <w:rPr>
          <w:rFonts w:ascii="Times New Roman" w:hAnsi="Times New Roman"/>
          <w:sz w:val="20"/>
          <w:szCs w:val="20"/>
        </w:rPr>
        <w:t>* Опыт применения препарата в пострегистрационный период.</w:t>
      </w:r>
    </w:p>
    <w:p w14:paraId="46276FEB" w14:textId="77777777" w:rsidR="007C6DBB" w:rsidRPr="00226060" w:rsidRDefault="007C6DBB" w:rsidP="005F45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26060">
        <w:rPr>
          <w:rFonts w:ascii="Times New Roman" w:hAnsi="Times New Roman"/>
          <w:sz w:val="20"/>
          <w:szCs w:val="20"/>
          <w:vertAlign w:val="superscript"/>
        </w:rPr>
        <w:t>1</w:t>
      </w:r>
      <w:r w:rsidRPr="00226060">
        <w:rPr>
          <w:rFonts w:ascii="Times New Roman" w:hAnsi="Times New Roman"/>
          <w:sz w:val="20"/>
          <w:szCs w:val="20"/>
        </w:rPr>
        <w:t xml:space="preserve"> см. предупреждение о воспалительных заболеваниях желудочно-кишечного тракта</w:t>
      </w:r>
      <w:r w:rsidR="00A720CB" w:rsidRPr="00226060">
        <w:rPr>
          <w:rFonts w:ascii="Times New Roman" w:hAnsi="Times New Roman"/>
          <w:sz w:val="20"/>
          <w:szCs w:val="20"/>
        </w:rPr>
        <w:t xml:space="preserve"> в разделе 4.4</w:t>
      </w:r>
    </w:p>
    <w:p w14:paraId="71FD6867" w14:textId="77777777" w:rsidR="00B974CA" w:rsidRPr="005825C4" w:rsidRDefault="005825C4" w:rsidP="005F450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Применение у детей</w:t>
      </w:r>
    </w:p>
    <w:p w14:paraId="219B360D" w14:textId="77777777" w:rsidR="009773CB" w:rsidRDefault="00B974CA" w:rsidP="005F4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целом, </w:t>
      </w:r>
      <w:r w:rsidRPr="00B974CA">
        <w:rPr>
          <w:rFonts w:ascii="Times New Roman" w:hAnsi="Times New Roman"/>
          <w:sz w:val="24"/>
          <w:szCs w:val="24"/>
        </w:rPr>
        <w:t>профиль безопасности у детей и подростков (возрастом от 6 до 18 лет) аналогичен профилю безопасности у взрослых.</w:t>
      </w:r>
    </w:p>
    <w:p w14:paraId="5A75434C" w14:textId="77777777" w:rsidR="00B974CA" w:rsidRPr="00B56C94" w:rsidRDefault="00B974CA" w:rsidP="005F4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A3ABC0" w14:textId="77777777" w:rsidR="00814DFC" w:rsidRPr="00B56C94" w:rsidRDefault="00814DFC" w:rsidP="005F45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6C94">
        <w:rPr>
          <w:rFonts w:ascii="Times New Roman" w:hAnsi="Times New Roman"/>
          <w:b/>
          <w:sz w:val="24"/>
          <w:szCs w:val="24"/>
        </w:rPr>
        <w:t xml:space="preserve">Сообщение о подозреваемых нежелательных реакциях </w:t>
      </w:r>
    </w:p>
    <w:p w14:paraId="2500C93B" w14:textId="77777777" w:rsidR="004528E1" w:rsidRPr="00B56C94" w:rsidRDefault="00814DFC" w:rsidP="005F4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C94">
        <w:rPr>
          <w:rFonts w:ascii="Times New Roman" w:hAnsi="Times New Roman"/>
          <w:sz w:val="24"/>
          <w:szCs w:val="24"/>
        </w:rPr>
        <w:t xml:space="preserve">Важно сообщать о подозреваемых нежелательных реакциях после регистрации </w:t>
      </w:r>
      <w:r w:rsidR="00F6012B" w:rsidRPr="00B56C94">
        <w:rPr>
          <w:rFonts w:ascii="Times New Roman" w:hAnsi="Times New Roman"/>
          <w:sz w:val="24"/>
          <w:szCs w:val="24"/>
        </w:rPr>
        <w:t>ЛП</w:t>
      </w:r>
      <w:r w:rsidRPr="00B56C94">
        <w:rPr>
          <w:rFonts w:ascii="Times New Roman" w:hAnsi="Times New Roman"/>
          <w:sz w:val="24"/>
          <w:szCs w:val="24"/>
        </w:rPr>
        <w:t xml:space="preserve"> с целью обеспечения непрерывного мониторинга соотношения «польза – риск» </w:t>
      </w:r>
      <w:r w:rsidR="00125232" w:rsidRPr="00B56C94">
        <w:rPr>
          <w:rFonts w:ascii="Times New Roman" w:hAnsi="Times New Roman"/>
          <w:sz w:val="24"/>
          <w:szCs w:val="24"/>
        </w:rPr>
        <w:t>ЛП</w:t>
      </w:r>
      <w:r w:rsidRPr="00B56C94">
        <w:rPr>
          <w:rFonts w:ascii="Times New Roman" w:hAnsi="Times New Roman"/>
          <w:sz w:val="24"/>
          <w:szCs w:val="24"/>
        </w:rPr>
        <w:t xml:space="preserve">. Медицинским работникам рекомендуется сообщать о любых подозреваемых нежелательных реакциях </w:t>
      </w:r>
      <w:r w:rsidR="00F6012B" w:rsidRPr="00B56C94">
        <w:rPr>
          <w:rFonts w:ascii="Times New Roman" w:hAnsi="Times New Roman"/>
          <w:sz w:val="24"/>
          <w:szCs w:val="24"/>
        </w:rPr>
        <w:t>ЛП</w:t>
      </w:r>
      <w:r w:rsidRPr="00B56C94">
        <w:rPr>
          <w:rFonts w:ascii="Times New Roman" w:hAnsi="Times New Roman"/>
          <w:sz w:val="24"/>
          <w:szCs w:val="24"/>
        </w:rPr>
        <w:t xml:space="preserve"> через национальную систему сообщения о нежелательных реакциях РК.</w:t>
      </w:r>
      <w:r w:rsidR="004528E1" w:rsidRPr="00B56C94">
        <w:rPr>
          <w:rFonts w:ascii="Times New Roman" w:hAnsi="Times New Roman"/>
          <w:sz w:val="24"/>
          <w:szCs w:val="24"/>
        </w:rPr>
        <w:t xml:space="preserve"> </w:t>
      </w:r>
    </w:p>
    <w:p w14:paraId="2A34A62A" w14:textId="77777777" w:rsidR="004528E1" w:rsidRPr="00B56C94" w:rsidRDefault="004528E1" w:rsidP="005F4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C94">
        <w:rPr>
          <w:rFonts w:ascii="Times New Roman" w:hAnsi="Times New Roman"/>
          <w:sz w:val="24"/>
          <w:szCs w:val="24"/>
        </w:rPr>
        <w:t>РГП на ПХВ «Национальный Центр экспертизы лекарственных</w:t>
      </w:r>
      <w:r w:rsidR="00416507" w:rsidRPr="00B56C94">
        <w:rPr>
          <w:rFonts w:ascii="Times New Roman" w:hAnsi="Times New Roman"/>
          <w:sz w:val="24"/>
          <w:szCs w:val="24"/>
        </w:rPr>
        <w:t xml:space="preserve"> средств и медицинских изделий» </w:t>
      </w:r>
    </w:p>
    <w:p w14:paraId="40D768E8" w14:textId="77777777" w:rsidR="00814DFC" w:rsidRPr="00B56C94" w:rsidRDefault="00ED7522" w:rsidP="005F4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4528E1" w:rsidRPr="00B56C94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="004528E1" w:rsidRPr="00B56C94">
          <w:rPr>
            <w:rStyle w:val="af"/>
            <w:rFonts w:ascii="Times New Roman" w:hAnsi="Times New Roman"/>
            <w:sz w:val="24"/>
            <w:szCs w:val="24"/>
          </w:rPr>
          <w:t>://</w:t>
        </w:r>
        <w:r w:rsidR="004528E1" w:rsidRPr="00B56C94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4528E1" w:rsidRPr="00B56C94">
          <w:rPr>
            <w:rStyle w:val="af"/>
            <w:rFonts w:ascii="Times New Roman" w:hAnsi="Times New Roman"/>
            <w:sz w:val="24"/>
            <w:szCs w:val="24"/>
          </w:rPr>
          <w:t>.</w:t>
        </w:r>
        <w:r w:rsidR="004528E1" w:rsidRPr="00B56C94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r w:rsidR="004528E1" w:rsidRPr="00B56C94">
          <w:rPr>
            <w:rStyle w:val="af"/>
            <w:rFonts w:ascii="Times New Roman" w:hAnsi="Times New Roman"/>
            <w:sz w:val="24"/>
            <w:szCs w:val="24"/>
          </w:rPr>
          <w:t>.</w:t>
        </w:r>
        <w:r w:rsidR="004528E1" w:rsidRPr="00B56C94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</w:hyperlink>
    </w:p>
    <w:p w14:paraId="22E06958" w14:textId="77777777" w:rsidR="009D67EC" w:rsidRPr="00B56C94" w:rsidRDefault="009D67EC" w:rsidP="005F450A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361F60" w14:textId="77777777" w:rsidR="00123DB5" w:rsidRPr="00B56C94" w:rsidRDefault="00123DB5" w:rsidP="005F450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4.9 Передозировка</w:t>
      </w:r>
    </w:p>
    <w:p w14:paraId="355E6783" w14:textId="77777777" w:rsidR="00095B0D" w:rsidRPr="00095B0D" w:rsidRDefault="00095B0D" w:rsidP="005F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5B0D">
        <w:rPr>
          <w:rFonts w:ascii="Times New Roman" w:hAnsi="Times New Roman"/>
          <w:color w:val="000000"/>
          <w:sz w:val="24"/>
          <w:szCs w:val="24"/>
        </w:rPr>
        <w:t xml:space="preserve">Севеламера гидрохлорид, который содержит ту же активную часть молекулы, что и севеламера карбонат, назначался нормальным здоровым добровольцам в дозах до 14 г в сутки в течение восьми дней, и, при этом, не отмечалось никаких нежелательных </w:t>
      </w:r>
      <w:r w:rsidRPr="00095B0D">
        <w:rPr>
          <w:rFonts w:ascii="Times New Roman" w:hAnsi="Times New Roman"/>
          <w:color w:val="000000"/>
          <w:sz w:val="24"/>
          <w:szCs w:val="24"/>
        </w:rPr>
        <w:lastRenderedPageBreak/>
        <w:t>реакций</w:t>
      </w:r>
      <w:r w:rsidR="00A27572">
        <w:rPr>
          <w:rFonts w:ascii="Times New Roman" w:hAnsi="Times New Roman"/>
          <w:color w:val="000000"/>
          <w:sz w:val="24"/>
          <w:szCs w:val="24"/>
        </w:rPr>
        <w:t>. У</w:t>
      </w:r>
      <w:r w:rsidR="00A063F0">
        <w:rPr>
          <w:rFonts w:ascii="Times New Roman" w:hAnsi="Times New Roman"/>
          <w:color w:val="000000"/>
          <w:sz w:val="24"/>
          <w:szCs w:val="24"/>
        </w:rPr>
        <w:t xml:space="preserve"> пациентов с ХБ</w:t>
      </w:r>
      <w:r w:rsidRPr="00095B0D">
        <w:rPr>
          <w:rFonts w:ascii="Times New Roman" w:hAnsi="Times New Roman"/>
          <w:color w:val="000000"/>
          <w:sz w:val="24"/>
          <w:szCs w:val="24"/>
        </w:rPr>
        <w:t>П исследовавшаяся максимальная средняя суточная доза составила 14,4 г севеламера карбоната в виде однократной суточной дозы.</w:t>
      </w:r>
    </w:p>
    <w:p w14:paraId="01B5EAEE" w14:textId="77777777" w:rsidR="00095B0D" w:rsidRDefault="00095B0D" w:rsidP="005F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5B0D">
        <w:rPr>
          <w:rFonts w:ascii="Times New Roman" w:hAnsi="Times New Roman"/>
          <w:color w:val="000000"/>
          <w:sz w:val="24"/>
          <w:szCs w:val="24"/>
        </w:rPr>
        <w:t>Симптомы, наблюдаемые в случае передозировки, аналогичны нежелательным реакциям, пе</w:t>
      </w:r>
      <w:r w:rsidR="00A27572">
        <w:rPr>
          <w:rFonts w:ascii="Times New Roman" w:hAnsi="Times New Roman"/>
          <w:color w:val="000000"/>
          <w:sz w:val="24"/>
          <w:szCs w:val="24"/>
        </w:rPr>
        <w:t>речисленным в разделе 4.8, и</w:t>
      </w:r>
      <w:r w:rsidRPr="00095B0D">
        <w:rPr>
          <w:rFonts w:ascii="Times New Roman" w:hAnsi="Times New Roman"/>
          <w:color w:val="000000"/>
          <w:sz w:val="24"/>
          <w:szCs w:val="24"/>
        </w:rPr>
        <w:t xml:space="preserve"> включают в себя, в основном, запоры и другие известные же</w:t>
      </w:r>
      <w:r w:rsidR="00A27572">
        <w:rPr>
          <w:rFonts w:ascii="Times New Roman" w:hAnsi="Times New Roman"/>
          <w:color w:val="000000"/>
          <w:sz w:val="24"/>
          <w:szCs w:val="24"/>
        </w:rPr>
        <w:t xml:space="preserve">лудочно-кишечные расстройства. </w:t>
      </w:r>
      <w:r w:rsidRPr="00095B0D">
        <w:rPr>
          <w:rFonts w:ascii="Times New Roman" w:hAnsi="Times New Roman"/>
          <w:color w:val="000000"/>
          <w:sz w:val="24"/>
          <w:szCs w:val="24"/>
        </w:rPr>
        <w:t>Необходимо назначить соответствующее симптоматическое лечение.</w:t>
      </w:r>
    </w:p>
    <w:p w14:paraId="3B0253E0" w14:textId="77777777" w:rsidR="00A27572" w:rsidRDefault="00A27572" w:rsidP="005F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5880AE" w14:textId="77777777" w:rsidR="00C153F2" w:rsidRPr="00B56C94" w:rsidRDefault="00C153F2" w:rsidP="005F450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B56C94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B56C94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ФАРМАКОЛОГИЧЕСКИЕ СВОЙСТВА</w:t>
      </w:r>
    </w:p>
    <w:p w14:paraId="554D8EEB" w14:textId="77777777" w:rsidR="00C153F2" w:rsidRPr="00B56C94" w:rsidRDefault="00226060" w:rsidP="005F450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5.1</w:t>
      </w:r>
      <w:r w:rsidR="00C153F2" w:rsidRPr="00B56C9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153F2" w:rsidRPr="00B56C94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Фармакодинамические свойства</w:t>
      </w:r>
    </w:p>
    <w:p w14:paraId="1B70A2F1" w14:textId="77777777" w:rsidR="0057084E" w:rsidRDefault="00C153F2" w:rsidP="005F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57084E">
        <w:rPr>
          <w:rFonts w:ascii="Times New Roman" w:eastAsia="TimesNewRomanPSMT" w:hAnsi="Times New Roman"/>
          <w:sz w:val="24"/>
          <w:szCs w:val="24"/>
          <w:lang w:eastAsia="ru-RU"/>
        </w:rPr>
        <w:t xml:space="preserve">Фармакотерапевтическая группа: </w:t>
      </w:r>
      <w:r w:rsidR="0057084E" w:rsidRPr="0057084E">
        <w:rPr>
          <w:rFonts w:ascii="Times New Roman" w:eastAsia="TimesNewRomanPSMT" w:hAnsi="Times New Roman"/>
          <w:sz w:val="24"/>
          <w:szCs w:val="24"/>
          <w:lang w:eastAsia="ru-RU"/>
        </w:rPr>
        <w:t>Другие терапевтически</w:t>
      </w:r>
      <w:r w:rsidR="00226060">
        <w:rPr>
          <w:rFonts w:ascii="Times New Roman" w:eastAsia="TimesNewRomanPSMT" w:hAnsi="Times New Roman"/>
          <w:sz w:val="24"/>
          <w:szCs w:val="24"/>
          <w:lang w:eastAsia="ru-RU"/>
        </w:rPr>
        <w:t xml:space="preserve">е препараты все. Препараты для </w:t>
      </w:r>
      <w:r w:rsidR="0057084E" w:rsidRPr="0057084E">
        <w:rPr>
          <w:rFonts w:ascii="Times New Roman" w:eastAsia="TimesNewRomanPSMT" w:hAnsi="Times New Roman"/>
          <w:sz w:val="24"/>
          <w:szCs w:val="24"/>
          <w:lang w:eastAsia="ru-RU"/>
        </w:rPr>
        <w:t>лечения гиперкалиемии и гиперфосфатемии. Севеламер.</w:t>
      </w:r>
    </w:p>
    <w:p w14:paraId="4B27BBA9" w14:textId="77777777" w:rsidR="003E6BBD" w:rsidRDefault="00C27E76" w:rsidP="005F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57084E">
        <w:rPr>
          <w:rFonts w:ascii="Times New Roman" w:eastAsia="TimesNewRomanPSMT" w:hAnsi="Times New Roman"/>
          <w:sz w:val="24"/>
          <w:szCs w:val="24"/>
          <w:lang w:eastAsia="ru-RU"/>
        </w:rPr>
        <w:t>Код АТХ V03AE02</w:t>
      </w:r>
    </w:p>
    <w:p w14:paraId="4E572081" w14:textId="77777777" w:rsidR="00C27E76" w:rsidRPr="00B56C94" w:rsidRDefault="00C27E76" w:rsidP="005F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F86D418" w14:textId="77777777" w:rsidR="00C153F2" w:rsidRDefault="00C153F2" w:rsidP="005F45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B56C94">
        <w:rPr>
          <w:rFonts w:ascii="Times New Roman" w:hAnsi="Times New Roman"/>
          <w:i/>
          <w:iCs/>
          <w:sz w:val="24"/>
          <w:szCs w:val="24"/>
          <w:lang w:eastAsia="ru-RU"/>
        </w:rPr>
        <w:t>Механизм действия</w:t>
      </w:r>
      <w:r w:rsidR="00986783" w:rsidRPr="00B56C9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728397C0" w14:textId="77777777" w:rsidR="000C5D4F" w:rsidRPr="000C5D4F" w:rsidRDefault="000C5D4F" w:rsidP="005F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bidi="ru-RU"/>
        </w:rPr>
      </w:pPr>
      <w:r w:rsidRPr="00226060">
        <w:rPr>
          <w:rFonts w:ascii="Times New Roman" w:hAnsi="Times New Roman"/>
          <w:sz w:val="24"/>
          <w:szCs w:val="24"/>
        </w:rPr>
        <w:t>Севкар</w:t>
      </w:r>
      <w:r w:rsidRPr="000C5D4F">
        <w:rPr>
          <w:rFonts w:ascii="Times New Roman" w:hAnsi="Times New Roman"/>
          <w:b/>
          <w:sz w:val="24"/>
          <w:szCs w:val="24"/>
        </w:rPr>
        <w:t xml:space="preserve"> </w:t>
      </w:r>
      <w:r w:rsidRPr="000C5D4F">
        <w:rPr>
          <w:rFonts w:ascii="Times New Roman" w:hAnsi="Times New Roman"/>
          <w:sz w:val="24"/>
        </w:rPr>
        <w:t>содержит севеламер, который представляет собой неабсорбирующийся, связывающий фосфаты</w:t>
      </w:r>
      <w:r w:rsidR="00226060">
        <w:rPr>
          <w:rFonts w:ascii="Times New Roman" w:hAnsi="Times New Roman"/>
          <w:sz w:val="24"/>
        </w:rPr>
        <w:t xml:space="preserve"> полимер с поперечными связями,</w:t>
      </w:r>
      <w:r w:rsidRPr="000C5D4F">
        <w:rPr>
          <w:rFonts w:ascii="Times New Roman" w:hAnsi="Times New Roman"/>
          <w:sz w:val="24"/>
        </w:rPr>
        <w:t xml:space="preserve"> который не содержит металлы и кальций. Севеламер содержит несколько аминов, отделенных </w:t>
      </w:r>
      <w:r w:rsidRPr="000C5D4F">
        <w:rPr>
          <w:rFonts w:ascii="Times New Roman" w:hAnsi="Times New Roman"/>
          <w:sz w:val="24"/>
          <w:szCs w:val="24"/>
        </w:rPr>
        <w:t>одним атомом углерода от полимерного каркаса, которые протонируются в кишечнике. Эти протонированные амины связывают в кишечнике отрицательно заряженные ионы, такие как поступающие с пищей фосфаты.</w:t>
      </w:r>
    </w:p>
    <w:p w14:paraId="3D61847B" w14:textId="77777777" w:rsidR="00C153F2" w:rsidRDefault="00986783" w:rsidP="005F45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B56C94">
        <w:rPr>
          <w:rFonts w:ascii="Times New Roman" w:hAnsi="Times New Roman"/>
          <w:i/>
          <w:iCs/>
          <w:sz w:val="24"/>
          <w:szCs w:val="24"/>
          <w:lang w:eastAsia="ru-RU"/>
        </w:rPr>
        <w:t>Фармакодинамические эффекты</w:t>
      </w:r>
    </w:p>
    <w:p w14:paraId="61243388" w14:textId="77777777" w:rsidR="000C5D4F" w:rsidRPr="000C5D4F" w:rsidRDefault="000C5D4F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D4F">
        <w:rPr>
          <w:rFonts w:ascii="Times New Roman" w:eastAsia="Times New Roman" w:hAnsi="Times New Roman"/>
          <w:sz w:val="24"/>
          <w:szCs w:val="24"/>
          <w:lang w:eastAsia="ru-RU"/>
        </w:rPr>
        <w:t>Посредством связывания фосфатов в пищеварительном тракте и понижения абсорбции, севеламер понижает концентрацию фосфора в сыворотке крови. Регулярный мониторинг сывороточных уровней фосфора всегда необходим в период применения препарата, связывающего фосфаты.</w:t>
      </w:r>
    </w:p>
    <w:p w14:paraId="44D9C1DF" w14:textId="77777777" w:rsidR="00C153F2" w:rsidRDefault="00C153F2" w:rsidP="005F45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B56C94">
        <w:rPr>
          <w:rFonts w:ascii="Times New Roman" w:hAnsi="Times New Roman"/>
          <w:i/>
          <w:iCs/>
          <w:sz w:val="24"/>
          <w:szCs w:val="24"/>
          <w:lang w:eastAsia="ru-RU"/>
        </w:rPr>
        <w:t>Клиническ</w:t>
      </w:r>
      <w:r w:rsidR="00986783" w:rsidRPr="00B56C94">
        <w:rPr>
          <w:rFonts w:ascii="Times New Roman" w:hAnsi="Times New Roman"/>
          <w:i/>
          <w:iCs/>
          <w:sz w:val="24"/>
          <w:szCs w:val="24"/>
          <w:lang w:eastAsia="ru-RU"/>
        </w:rPr>
        <w:t>ая эффективность и безопасность</w:t>
      </w:r>
    </w:p>
    <w:p w14:paraId="70EF5D34" w14:textId="77777777" w:rsidR="000C5D4F" w:rsidRPr="000C5D4F" w:rsidRDefault="000C5D4F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D4F">
        <w:rPr>
          <w:rFonts w:ascii="Times New Roman" w:eastAsia="Times New Roman" w:hAnsi="Times New Roman"/>
          <w:sz w:val="24"/>
          <w:szCs w:val="24"/>
          <w:lang w:eastAsia="ru-RU"/>
        </w:rPr>
        <w:t>В двух рандомизированных перекрестных клинических испытаниях было показано, что севеламера карбонат как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Pr="000C5D4F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форме таблеток, так и в форме порошка при приеме три раза в сутки терапевтически эквивалентен севеламера гидрохлориду и, следовательно, эффективен для контроля сывороточных у</w:t>
      </w:r>
      <w:r w:rsidR="00C57A34">
        <w:rPr>
          <w:rFonts w:ascii="Times New Roman" w:eastAsia="Times New Roman" w:hAnsi="Times New Roman"/>
          <w:sz w:val="24"/>
          <w:szCs w:val="24"/>
          <w:lang w:eastAsia="ru-RU"/>
        </w:rPr>
        <w:t>ровней фосфора у пациентов с ХБП</w:t>
      </w:r>
      <w:r w:rsidRPr="000C5D4F">
        <w:rPr>
          <w:rFonts w:ascii="Times New Roman" w:eastAsia="Times New Roman" w:hAnsi="Times New Roman"/>
          <w:sz w:val="24"/>
          <w:szCs w:val="24"/>
          <w:lang w:eastAsia="ru-RU"/>
        </w:rPr>
        <w:t xml:space="preserve">, находящихся на гемодиализе. </w:t>
      </w:r>
    </w:p>
    <w:p w14:paraId="29D781E3" w14:textId="77777777" w:rsidR="000C5D4F" w:rsidRPr="000E12CA" w:rsidRDefault="000C5D4F" w:rsidP="005F450A">
      <w:pPr>
        <w:widowControl w:val="0"/>
        <w:spacing w:after="0" w:line="240" w:lineRule="auto"/>
        <w:jc w:val="both"/>
        <w:rPr>
          <w:rFonts w:ascii="Times New Roman" w:eastAsia="Gungsuh" w:hAnsi="Times New Roman"/>
          <w:sz w:val="24"/>
          <w:szCs w:val="24"/>
          <w:lang w:eastAsia="ru-RU"/>
        </w:rPr>
      </w:pPr>
      <w:r w:rsidRPr="000C5D4F">
        <w:rPr>
          <w:rFonts w:ascii="Times New Roman" w:eastAsia="Times New Roman" w:hAnsi="Times New Roman"/>
          <w:sz w:val="24"/>
          <w:szCs w:val="24"/>
          <w:lang w:eastAsia="ru-RU"/>
        </w:rPr>
        <w:t xml:space="preserve">Первое исследование продемонстрировало, что таблетки севеламера карбоната, принимаемые три раза в сутки, были эквивалентны таблеткам севеламера гидрохлорида, принимаемым три раза в сутки у 79 пациентов на гемодиализе, проходивших </w:t>
      </w:r>
      <w:r w:rsidRPr="000C5D4F">
        <w:rPr>
          <w:rFonts w:ascii="Times New Roman" w:eastAsia="Gungsuh" w:hAnsi="Times New Roman"/>
          <w:sz w:val="24"/>
          <w:szCs w:val="24"/>
          <w:lang w:eastAsia="ru-RU"/>
        </w:rPr>
        <w:t>лечение в ходе двух рандомизированных 8-недельных периодов лечения (средний уровень фосфора в сыворотке, на основании средневзвешенных по вр</w:t>
      </w:r>
      <w:r w:rsidR="00226060">
        <w:rPr>
          <w:rFonts w:ascii="Times New Roman" w:eastAsia="Gungsuh" w:hAnsi="Times New Roman"/>
          <w:sz w:val="24"/>
          <w:szCs w:val="24"/>
          <w:lang w:eastAsia="ru-RU"/>
        </w:rPr>
        <w:t>емени значений, составлял 1,5±</w:t>
      </w:r>
      <w:r w:rsidRPr="000C5D4F">
        <w:rPr>
          <w:rFonts w:ascii="Times New Roman" w:eastAsia="Gungsuh" w:hAnsi="Times New Roman"/>
          <w:sz w:val="24"/>
          <w:szCs w:val="24"/>
          <w:lang w:eastAsia="ru-RU"/>
        </w:rPr>
        <w:t>0,3 ммоль/л как для севеламера карбоната, так и для севеламера гидрохлорида). Второе исследование показало, что порошок севеламера карбоната, принимаемый три раза в сутки, был эквивалентен таблеткам севеламера гидрохлорида, принимаемым три раза в сутки у 31 пациента с гиперфосфатемией (определяемой к</w:t>
      </w:r>
      <w:r w:rsidR="00226060">
        <w:rPr>
          <w:rFonts w:ascii="Times New Roman" w:eastAsia="Gungsuh" w:hAnsi="Times New Roman"/>
          <w:sz w:val="24"/>
          <w:szCs w:val="24"/>
          <w:lang w:eastAsia="ru-RU"/>
        </w:rPr>
        <w:t>ак уровни фосфора в сыворотке ≥</w:t>
      </w:r>
      <w:r w:rsidRPr="000C5D4F">
        <w:rPr>
          <w:rFonts w:ascii="Times New Roman" w:eastAsia="Gungsuh" w:hAnsi="Times New Roman"/>
          <w:sz w:val="24"/>
          <w:szCs w:val="24"/>
          <w:lang w:eastAsia="ru-RU"/>
        </w:rPr>
        <w:t>1,78 ммоль/л) на гемодиализе в ходе двух рандомизированных 4-недельных периодов лечения (средние уровни фосфора в сыворотке, на основании средневзвешенных по вре</w:t>
      </w:r>
      <w:r w:rsidR="00226060">
        <w:rPr>
          <w:rFonts w:ascii="Times New Roman" w:eastAsia="Gungsuh" w:hAnsi="Times New Roman"/>
          <w:sz w:val="24"/>
          <w:szCs w:val="24"/>
          <w:lang w:eastAsia="ru-RU"/>
        </w:rPr>
        <w:t>мени значений, составляли 1,6±</w:t>
      </w:r>
      <w:r w:rsidRPr="000C5D4F">
        <w:rPr>
          <w:rFonts w:ascii="Times New Roman" w:eastAsia="Gungsuh" w:hAnsi="Times New Roman"/>
          <w:sz w:val="24"/>
          <w:szCs w:val="24"/>
          <w:lang w:eastAsia="ru-RU"/>
        </w:rPr>
        <w:t>0,5 ммоль/л для порош</w:t>
      </w:r>
      <w:r w:rsidR="00226060">
        <w:rPr>
          <w:rFonts w:ascii="Times New Roman" w:eastAsia="Gungsuh" w:hAnsi="Times New Roman"/>
          <w:sz w:val="24"/>
          <w:szCs w:val="24"/>
          <w:lang w:eastAsia="ru-RU"/>
        </w:rPr>
        <w:t>ка севеламера карбоната и 1,7±</w:t>
      </w:r>
      <w:r w:rsidRPr="000C5D4F">
        <w:rPr>
          <w:rFonts w:ascii="Times New Roman" w:eastAsia="Gungsuh" w:hAnsi="Times New Roman"/>
          <w:sz w:val="24"/>
          <w:szCs w:val="24"/>
          <w:lang w:eastAsia="ru-RU"/>
        </w:rPr>
        <w:t xml:space="preserve">0,4 ммоль/л для таблеток севеламера гидрохлорида). </w:t>
      </w:r>
    </w:p>
    <w:p w14:paraId="4B9EADD1" w14:textId="77777777" w:rsidR="000C5D4F" w:rsidRPr="000C5D4F" w:rsidRDefault="000C5D4F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D4F">
        <w:rPr>
          <w:rFonts w:ascii="Times New Roman" w:eastAsia="Times New Roman" w:hAnsi="Times New Roman"/>
          <w:sz w:val="24"/>
          <w:szCs w:val="24"/>
          <w:lang w:eastAsia="ru-RU"/>
        </w:rPr>
        <w:t>В клинических испытаниях у пациентов на гемодиализе монотерапия севеламером не оказывал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C5D4F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последовательного и клинически значимого действия на иПТГ. Однако в 12-недельном исследовании, в котором участвовали пациенты на перитонеальном диализе, наблюдалось аналогичное снижение иПТГ по сравнению с пациентами, получавшими ацетат кальция. У пациентов с вторичным гиперпаратиреозом севеламера карбонат следует применять в контексте комплексной терапии, которая может включать в себя добавление кальция, 1,25-дигидроксивитамина D</w:t>
      </w:r>
      <w:r w:rsidRPr="000C5D4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3</w:t>
      </w:r>
      <w:r w:rsidRPr="000C5D4F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одного из его аналогов для </w:t>
      </w:r>
      <w:r w:rsidRPr="000C5D4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снижения уровня иПТГ. </w:t>
      </w:r>
    </w:p>
    <w:p w14:paraId="217F084A" w14:textId="77777777" w:rsidR="000C5D4F" w:rsidRPr="000C5D4F" w:rsidRDefault="000C5D4F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D4F">
        <w:rPr>
          <w:rFonts w:ascii="Times New Roman" w:eastAsia="Times New Roman" w:hAnsi="Times New Roman"/>
          <w:sz w:val="24"/>
          <w:szCs w:val="24"/>
          <w:lang w:eastAsia="ru-RU"/>
        </w:rPr>
        <w:t xml:space="preserve">Было показано, что севеламер связывается с желчными кислотами </w:t>
      </w:r>
      <w:r w:rsidRPr="000C5D4F">
        <w:rPr>
          <w:rFonts w:ascii="Times New Roman" w:eastAsia="Times New Roman" w:hAnsi="Times New Roman"/>
          <w:i/>
          <w:sz w:val="24"/>
          <w:szCs w:val="24"/>
          <w:lang w:eastAsia="ru-RU"/>
        </w:rPr>
        <w:t>in vitro</w:t>
      </w:r>
      <w:r w:rsidRPr="000C5D4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0C5D4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in vivo </w:t>
      </w:r>
      <w:r w:rsidRPr="000C5D4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0C5D4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0C5D4F">
        <w:rPr>
          <w:rFonts w:ascii="Times New Roman" w:eastAsia="Times New Roman" w:hAnsi="Times New Roman"/>
          <w:sz w:val="24"/>
          <w:szCs w:val="24"/>
          <w:lang w:eastAsia="ru-RU"/>
        </w:rPr>
        <w:t>экспериментальных моделях с использованием животных. Связывание с желчными кислотами с участием ионообменных смол является хорошо установленным способом снижения холестерина крови. В клинических испытаниях севеламера как средние значения общего холестерина, так и холестерина Л</w:t>
      </w:r>
      <w:r w:rsidR="00433481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0C5D4F">
        <w:rPr>
          <w:rFonts w:ascii="Times New Roman" w:eastAsia="Times New Roman" w:hAnsi="Times New Roman"/>
          <w:sz w:val="24"/>
          <w:szCs w:val="24"/>
          <w:lang w:eastAsia="ru-RU"/>
        </w:rPr>
        <w:t>НП (липопротеинов низко</w:t>
      </w:r>
      <w:r w:rsidR="00226060">
        <w:rPr>
          <w:rFonts w:ascii="Times New Roman" w:eastAsia="Times New Roman" w:hAnsi="Times New Roman"/>
          <w:sz w:val="24"/>
          <w:szCs w:val="24"/>
          <w:lang w:eastAsia="ru-RU"/>
        </w:rPr>
        <w:t>й плотности) понижались на 15–</w:t>
      </w:r>
      <w:r w:rsidRPr="000C5D4F">
        <w:rPr>
          <w:rFonts w:ascii="Times New Roman" w:eastAsia="Times New Roman" w:hAnsi="Times New Roman"/>
          <w:sz w:val="24"/>
          <w:szCs w:val="24"/>
          <w:lang w:eastAsia="ru-RU"/>
        </w:rPr>
        <w:t>39%. Это понижение наблюдалось по прошествии 2 недель лечения и поддерживалось в течение долговременного лечения. Не происходило изменений в уровнях триглицеридов, холестерина Л</w:t>
      </w:r>
      <w:r w:rsidR="00433481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0C5D4F">
        <w:rPr>
          <w:rFonts w:ascii="Times New Roman" w:eastAsia="Times New Roman" w:hAnsi="Times New Roman"/>
          <w:sz w:val="24"/>
          <w:szCs w:val="24"/>
          <w:lang w:eastAsia="ru-RU"/>
        </w:rPr>
        <w:t xml:space="preserve">ВП (липопротеинов высокой плотности) и альбумина. </w:t>
      </w:r>
    </w:p>
    <w:p w14:paraId="216DBECD" w14:textId="77777777" w:rsidR="000C5D4F" w:rsidRPr="000C5D4F" w:rsidRDefault="000C5D4F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D4F">
        <w:rPr>
          <w:rFonts w:ascii="Times New Roman" w:eastAsia="Times New Roman" w:hAnsi="Times New Roman"/>
          <w:sz w:val="24"/>
          <w:szCs w:val="24"/>
          <w:lang w:eastAsia="ru-RU"/>
        </w:rPr>
        <w:t xml:space="preserve">Поскольку севеламер связывается с желчными кислотами, он может мешать абсорбции жирорастворимых витаминов, таких как А, D, Е и К. </w:t>
      </w:r>
    </w:p>
    <w:p w14:paraId="0A3D6FA1" w14:textId="77777777" w:rsidR="000C5D4F" w:rsidRPr="00D00E35" w:rsidRDefault="000C5D4F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D4F">
        <w:rPr>
          <w:rFonts w:ascii="Times New Roman" w:eastAsia="Times New Roman" w:hAnsi="Times New Roman"/>
          <w:sz w:val="24"/>
          <w:szCs w:val="24"/>
          <w:lang w:eastAsia="ru-RU"/>
        </w:rPr>
        <w:t>Севеламер не содержит кальций и снижает частоту приступов гиперкальциемии по сравнению с пациентами, получающими только препараты на основе кальция, связывающими фосфаты. Было доказано, что влияние севеламера на фосфор и кальций поддерживалось на протяжении всего периода исследования с последующим однолетним периодом наблюдением. Эта информация была получена из исследований, в которых применяли севеламера гидрохлорид.</w:t>
      </w:r>
    </w:p>
    <w:p w14:paraId="71F02CF5" w14:textId="77777777" w:rsidR="00C153F2" w:rsidRDefault="00986783" w:rsidP="005F45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B56C94">
        <w:rPr>
          <w:rFonts w:ascii="Times New Roman" w:hAnsi="Times New Roman"/>
          <w:i/>
          <w:iCs/>
          <w:sz w:val="24"/>
          <w:szCs w:val="24"/>
          <w:lang w:eastAsia="ru-RU"/>
        </w:rPr>
        <w:t>Дети</w:t>
      </w:r>
    </w:p>
    <w:p w14:paraId="25F9990F" w14:textId="77777777" w:rsidR="00D00E35" w:rsidRPr="00D00E35" w:rsidRDefault="00D00E35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E35">
        <w:rPr>
          <w:rFonts w:ascii="Times New Roman" w:eastAsia="Times New Roman" w:hAnsi="Times New Roman"/>
          <w:sz w:val="24"/>
          <w:szCs w:val="24"/>
          <w:lang w:eastAsia="ru-RU"/>
        </w:rPr>
        <w:t>Безопасность и эффективность севеламера карбоната у пациентов детского во</w:t>
      </w:r>
      <w:r w:rsidR="00AD11FC">
        <w:rPr>
          <w:rFonts w:ascii="Times New Roman" w:eastAsia="Times New Roman" w:hAnsi="Times New Roman"/>
          <w:sz w:val="24"/>
          <w:szCs w:val="24"/>
          <w:lang w:eastAsia="ru-RU"/>
        </w:rPr>
        <w:t>зраста с гиперфосфатемией и с ХБ</w:t>
      </w:r>
      <w:r w:rsidRPr="00D00E35">
        <w:rPr>
          <w:rFonts w:ascii="Times New Roman" w:eastAsia="Times New Roman" w:hAnsi="Times New Roman"/>
          <w:sz w:val="24"/>
          <w:szCs w:val="24"/>
          <w:lang w:eastAsia="ru-RU"/>
        </w:rPr>
        <w:t>П оценивались в многоцентровом исследовании с 2-недельным рандомизированным плацебо-контролируемым периодом приема фиксированной дозы (ПФД) с последующим 6-месячным одногрупповым открытым периодом титрования доз (ПТД). В исследовании, в целом, 101 пациенту (возрастом от 6 до 18 лет, с</w:t>
      </w:r>
      <w:r w:rsidR="00BE49EB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диапазоном значений ППТ</w:t>
      </w:r>
      <w:r w:rsidRPr="00D00E35">
        <w:rPr>
          <w:rFonts w:ascii="Times New Roman" w:eastAsia="Times New Roman" w:hAnsi="Times New Roman"/>
          <w:sz w:val="24"/>
          <w:szCs w:val="24"/>
          <w:lang w:eastAsia="ru-RU"/>
        </w:rPr>
        <w:t xml:space="preserve"> от 0,8 м</w:t>
      </w:r>
      <w:r w:rsidRPr="00D00E3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D00E35">
        <w:rPr>
          <w:rFonts w:ascii="Times New Roman" w:eastAsia="Times New Roman" w:hAnsi="Times New Roman"/>
          <w:sz w:val="24"/>
          <w:szCs w:val="24"/>
          <w:lang w:eastAsia="ru-RU"/>
        </w:rPr>
        <w:t xml:space="preserve"> до 2,4 м</w:t>
      </w:r>
      <w:r w:rsidRPr="00D00E3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D00E35">
        <w:rPr>
          <w:rFonts w:ascii="Times New Roman" w:eastAsia="Times New Roman" w:hAnsi="Times New Roman"/>
          <w:sz w:val="24"/>
          <w:szCs w:val="24"/>
          <w:lang w:eastAsia="ru-RU"/>
        </w:rPr>
        <w:t>) назначалось лечение методом случайной выборки. Сорок девять (49) пациентов получали севеламера карбонат, и 51 - плацебо в течение 2 недель ПФД. После этого, все пациенты получали севеламера карбонат в течение 26-недельного ПТД. Исследование соответствовало своей цели по первичному результату, то есть севеламера карбонат снижал сывороточный фосфор с различием средних значений, определенных методом наименьших квадратов (НК), на уровне 0,90 мг/дл по сравнению с плацебо, и по вторичным результатам эффективности. У детей с гиперфосфатем</w:t>
      </w:r>
      <w:r w:rsidR="00BE49EB">
        <w:rPr>
          <w:rFonts w:ascii="Times New Roman" w:eastAsia="Times New Roman" w:hAnsi="Times New Roman"/>
          <w:sz w:val="24"/>
          <w:szCs w:val="24"/>
          <w:lang w:eastAsia="ru-RU"/>
        </w:rPr>
        <w:t>ией, вторичной по отношению к ХБ</w:t>
      </w:r>
      <w:r w:rsidRPr="00D00E35">
        <w:rPr>
          <w:rFonts w:ascii="Times New Roman" w:eastAsia="Times New Roman" w:hAnsi="Times New Roman"/>
          <w:sz w:val="24"/>
          <w:szCs w:val="24"/>
          <w:lang w:eastAsia="ru-RU"/>
        </w:rPr>
        <w:t>П, севеламера карбонат значительно снижал уровни фосфора в сыворотке по сравнению с плацебо в течение 2-недельного ПФД. Реакция на лечение поддерживалась у больных детей, получавших севеламера карбонат, в течение 6 месяцев открытого периода ДТП. У 27% пациентов были достигнуты подходящие сывороточные уровни фосфора в конце лечения. Эти показатели составили 23% и 15% в подгруппе пациентов, находящихся на гемодиализе и перитонеальном диализе, соответственно. ППТ не влиял на ответ на лечение в течение 2-недельного ПФД, и, в противоположность этому, не наблюдалось ответа на лечение у детей с «квалиф</w:t>
      </w:r>
      <w:r w:rsidR="00226060">
        <w:rPr>
          <w:rFonts w:ascii="Times New Roman" w:eastAsia="Times New Roman" w:hAnsi="Times New Roman"/>
          <w:sz w:val="24"/>
          <w:szCs w:val="24"/>
          <w:lang w:eastAsia="ru-RU"/>
        </w:rPr>
        <w:t>икационными» уровнями фосфора &lt;</w:t>
      </w:r>
      <w:r w:rsidRPr="00D00E35">
        <w:rPr>
          <w:rFonts w:ascii="Times New Roman" w:eastAsia="Times New Roman" w:hAnsi="Times New Roman"/>
          <w:sz w:val="24"/>
          <w:szCs w:val="24"/>
          <w:lang w:eastAsia="ru-RU"/>
        </w:rPr>
        <w:t xml:space="preserve">7,0 мг/дл. Большинство побочных эффектов, о которых сообщалось как о связанных или, возможно, связанных с севеламера карбонатом, имели желудочно-кишечный характер. Не было выявлено никаких новых рисков или сигналов по безопасности при применении севеламера карбоната в период исследования. </w:t>
      </w:r>
    </w:p>
    <w:p w14:paraId="73719735" w14:textId="77777777" w:rsidR="00D00E35" w:rsidRPr="00B56C94" w:rsidRDefault="00D00E35" w:rsidP="005F45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14:paraId="67C2C663" w14:textId="77777777" w:rsidR="00C153F2" w:rsidRPr="00B56C94" w:rsidRDefault="00C153F2" w:rsidP="005F450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C83BAA">
        <w:rPr>
          <w:rFonts w:ascii="Times New Roman" w:hAnsi="Times New Roman"/>
          <w:b/>
          <w:sz w:val="24"/>
          <w:szCs w:val="24"/>
          <w:lang w:eastAsia="ru-RU"/>
        </w:rPr>
        <w:t xml:space="preserve">5.2 </w:t>
      </w:r>
      <w:r w:rsidR="00DD5E3A" w:rsidRPr="00C83BAA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Фармакокинетические свойства</w:t>
      </w:r>
    </w:p>
    <w:p w14:paraId="3641A0CD" w14:textId="77777777" w:rsidR="008B790E" w:rsidRPr="008B790E" w:rsidRDefault="008B790E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90E">
        <w:rPr>
          <w:rFonts w:ascii="Times New Roman" w:eastAsia="Times New Roman" w:hAnsi="Times New Roman"/>
          <w:sz w:val="24"/>
          <w:szCs w:val="24"/>
          <w:lang w:eastAsia="ru-RU"/>
        </w:rPr>
        <w:t>Фармакокинетические исследования севеламера карбоната не проводились. Севеламера гидрохлорид, который содержит ту же активную часть молекулы, что и севеламера карбонат, не абсорбируется из желудочно-кишечного тракта, что подтверждается исследованием абсорбции у здоровых добровольцев.</w:t>
      </w:r>
    </w:p>
    <w:p w14:paraId="0EC2B457" w14:textId="77777777" w:rsidR="00957BAF" w:rsidRPr="008B790E" w:rsidRDefault="008B790E" w:rsidP="005F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90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 течение однолетнего клинического испытания не было обнаружено никаких признаков накопления севеламера. </w:t>
      </w:r>
      <w:r w:rsidRPr="00A06EE5">
        <w:rPr>
          <w:rFonts w:ascii="Times New Roman" w:eastAsia="Times New Roman" w:hAnsi="Times New Roman"/>
          <w:sz w:val="24"/>
          <w:szCs w:val="24"/>
          <w:lang w:eastAsia="ru-RU"/>
        </w:rPr>
        <w:t>Однако нельзя полностью исключить потенциальные абсорбцию и накопление севеламера при долгов</w:t>
      </w:r>
      <w:r w:rsidR="004A587B">
        <w:rPr>
          <w:rFonts w:ascii="Times New Roman" w:eastAsia="Times New Roman" w:hAnsi="Times New Roman"/>
          <w:sz w:val="24"/>
          <w:szCs w:val="24"/>
          <w:lang w:eastAsia="ru-RU"/>
        </w:rPr>
        <w:t>ременном хроническом лечении (&gt; одного</w:t>
      </w:r>
      <w:r w:rsidRPr="00A06EE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года).</w:t>
      </w:r>
    </w:p>
    <w:p w14:paraId="5E8D153E" w14:textId="77777777" w:rsidR="008B790E" w:rsidRPr="00B56C94" w:rsidRDefault="008B790E" w:rsidP="005F45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6574C8BB" w14:textId="77777777" w:rsidR="00DF3381" w:rsidRPr="00B56C94" w:rsidRDefault="00226060" w:rsidP="005F450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5.3</w:t>
      </w:r>
      <w:r w:rsidR="00DF3381" w:rsidRPr="00B56C9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F3381" w:rsidRPr="00B56C94">
        <w:rPr>
          <w:rFonts w:ascii="Times New Roman" w:eastAsia="TimesNewRomanPSMT" w:hAnsi="Times New Roman"/>
          <w:b/>
          <w:sz w:val="24"/>
          <w:szCs w:val="24"/>
          <w:lang w:eastAsia="ru-RU"/>
        </w:rPr>
        <w:t>Да</w:t>
      </w:r>
      <w:r w:rsidR="00DD5E3A" w:rsidRPr="00B56C94">
        <w:rPr>
          <w:rFonts w:ascii="Times New Roman" w:eastAsia="TimesNewRomanPSMT" w:hAnsi="Times New Roman"/>
          <w:b/>
          <w:sz w:val="24"/>
          <w:szCs w:val="24"/>
          <w:lang w:eastAsia="ru-RU"/>
        </w:rPr>
        <w:t>нные доклинической безопасности</w:t>
      </w:r>
    </w:p>
    <w:p w14:paraId="4C45ACA3" w14:textId="77777777" w:rsidR="008470F5" w:rsidRPr="008470F5" w:rsidRDefault="00D03A39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r w:rsidR="008470F5" w:rsidRPr="008470F5">
        <w:rPr>
          <w:rFonts w:ascii="Times New Roman" w:eastAsia="Times New Roman" w:hAnsi="Times New Roman"/>
          <w:sz w:val="24"/>
          <w:szCs w:val="24"/>
          <w:lang w:eastAsia="ru-RU"/>
        </w:rPr>
        <w:t>клинические данные по севеламеру, полученные на основании традиционных исследований фармакологической безопасности, токсичности многократных доз или генотоксичности, не выявили никако</w:t>
      </w:r>
      <w:r w:rsidR="00F10E00">
        <w:rPr>
          <w:rFonts w:ascii="Times New Roman" w:eastAsia="Times New Roman" w:hAnsi="Times New Roman"/>
          <w:sz w:val="24"/>
          <w:szCs w:val="24"/>
          <w:lang w:eastAsia="ru-RU"/>
        </w:rPr>
        <w:t>й особой опасности для человека.</w:t>
      </w:r>
    </w:p>
    <w:p w14:paraId="27FCC8FA" w14:textId="77777777" w:rsidR="004E7A97" w:rsidRDefault="008470F5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70F5">
        <w:rPr>
          <w:rFonts w:ascii="Times New Roman" w:eastAsia="Times New Roman" w:hAnsi="Times New Roman"/>
          <w:sz w:val="24"/>
          <w:szCs w:val="24"/>
          <w:lang w:eastAsia="ru-RU"/>
        </w:rPr>
        <w:t>Исследования канцерогенности перорального применения севеламера гидрохл</w:t>
      </w:r>
      <w:r w:rsidR="00532F9A">
        <w:rPr>
          <w:rFonts w:ascii="Times New Roman" w:eastAsia="Times New Roman" w:hAnsi="Times New Roman"/>
          <w:sz w:val="24"/>
          <w:szCs w:val="24"/>
          <w:lang w:eastAsia="ru-RU"/>
        </w:rPr>
        <w:t>орида проводились на мышах</w:t>
      </w:r>
      <w:r w:rsidRPr="008470F5">
        <w:rPr>
          <w:rFonts w:ascii="Times New Roman" w:eastAsia="Times New Roman" w:hAnsi="Times New Roman"/>
          <w:sz w:val="24"/>
          <w:szCs w:val="24"/>
          <w:lang w:eastAsia="ru-RU"/>
        </w:rPr>
        <w:t xml:space="preserve"> (дозы до 9 г/кг/сутки) и крыс</w:t>
      </w:r>
      <w:r w:rsidR="00532F9A">
        <w:rPr>
          <w:rFonts w:ascii="Times New Roman" w:eastAsia="Times New Roman" w:hAnsi="Times New Roman"/>
          <w:sz w:val="24"/>
          <w:szCs w:val="24"/>
          <w:lang w:eastAsia="ru-RU"/>
        </w:rPr>
        <w:t>ах</w:t>
      </w:r>
      <w:r w:rsidRPr="008470F5">
        <w:rPr>
          <w:rFonts w:ascii="Times New Roman" w:eastAsia="Times New Roman" w:hAnsi="Times New Roman"/>
          <w:sz w:val="24"/>
          <w:szCs w:val="24"/>
          <w:lang w:eastAsia="ru-RU"/>
        </w:rPr>
        <w:t xml:space="preserve"> (0,3, 1 или 3 г/кг/сутки</w:t>
      </w:r>
      <w:r w:rsidR="00532F9A"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r w:rsidR="00532F9A" w:rsidRPr="00532F9A">
        <w:t xml:space="preserve"> </w:t>
      </w:r>
      <w:r w:rsidR="00532F9A" w:rsidRPr="00532F9A">
        <w:rPr>
          <w:rFonts w:ascii="Times New Roman" w:eastAsia="Times New Roman" w:hAnsi="Times New Roman"/>
          <w:sz w:val="24"/>
          <w:szCs w:val="24"/>
          <w:lang w:eastAsia="ru-RU"/>
        </w:rPr>
        <w:t xml:space="preserve">Отмечалась повышенная заболеваемость папилломой «переходной» клетки мочевого пузыря у самцов крыс группы высоких доз (эквивалентная доза для человека в два раза превышает максимальную клиническую дозу испытания 14,4 г). </w:t>
      </w:r>
      <w:r w:rsidR="004E7A97" w:rsidRPr="004E7A97">
        <w:rPr>
          <w:rFonts w:ascii="Times New Roman" w:eastAsia="Times New Roman" w:hAnsi="Times New Roman"/>
          <w:sz w:val="24"/>
          <w:szCs w:val="24"/>
          <w:lang w:eastAsia="ru-RU"/>
        </w:rPr>
        <w:t>Не было никакого увеличения частоты возникновения опухолей, наблюдаемых у мышей (эквивалентная доза для человека в 3 раза выше максимальной клинической дозы испытания).</w:t>
      </w:r>
      <w:r w:rsidR="004E7A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7B6D78B" w14:textId="77777777" w:rsidR="008470F5" w:rsidRPr="008470F5" w:rsidRDefault="008470F5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70F5">
        <w:rPr>
          <w:rFonts w:ascii="Times New Roman" w:eastAsia="Times New Roman" w:hAnsi="Times New Roman"/>
          <w:sz w:val="24"/>
          <w:szCs w:val="24"/>
          <w:lang w:eastAsia="ru-RU"/>
        </w:rPr>
        <w:t xml:space="preserve">В цитогенетическом тесте млекопитающих </w:t>
      </w:r>
      <w:r w:rsidRPr="008470F5">
        <w:rPr>
          <w:rFonts w:ascii="Times New Roman" w:eastAsia="Times New Roman" w:hAnsi="Times New Roman"/>
          <w:i/>
          <w:sz w:val="24"/>
          <w:szCs w:val="24"/>
          <w:lang w:eastAsia="ru-RU"/>
        </w:rPr>
        <w:t>in vitro</w:t>
      </w:r>
      <w:r w:rsidRPr="008470F5">
        <w:rPr>
          <w:rFonts w:ascii="Times New Roman" w:eastAsia="Times New Roman" w:hAnsi="Times New Roman"/>
          <w:sz w:val="24"/>
          <w:szCs w:val="24"/>
          <w:lang w:eastAsia="ru-RU"/>
        </w:rPr>
        <w:t xml:space="preserve"> с метаболической активацией севеламера гидрохлорид вызывал статистически значимое увеличение числа структурных хромосомных аберраций. Севеламера гидрохлорид не был мутагенным в анализе бактериальной мутации Эймса. </w:t>
      </w:r>
    </w:p>
    <w:p w14:paraId="2C77B63B" w14:textId="77777777" w:rsidR="008470F5" w:rsidRPr="008470F5" w:rsidRDefault="008470F5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70F5">
        <w:rPr>
          <w:rFonts w:ascii="Times New Roman" w:eastAsia="Times New Roman" w:hAnsi="Times New Roman"/>
          <w:sz w:val="24"/>
          <w:szCs w:val="24"/>
          <w:lang w:eastAsia="ru-RU"/>
        </w:rPr>
        <w:t xml:space="preserve">У крыс и собак севеламер снижал абсорбцию жирорастворимых витаминов D, E и K (факторы свертывания крови) и фолиевой кислоты. </w:t>
      </w:r>
    </w:p>
    <w:p w14:paraId="0796BAE5" w14:textId="77777777" w:rsidR="008470F5" w:rsidRPr="008470F5" w:rsidRDefault="008470F5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470F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Наблюдалось недостаточное окостенение скелета в нескольких местах у плодов самок крыс, которые получали севеламер в промежуточных и высоких дозах </w:t>
      </w:r>
      <w:r w:rsidRPr="008470F5">
        <w:rPr>
          <w:rFonts w:ascii="Times New Roman" w:eastAsia="Times New Roman" w:hAnsi="Times New Roman"/>
          <w:sz w:val="24"/>
          <w:szCs w:val="24"/>
          <w:lang w:eastAsia="ru-RU"/>
        </w:rPr>
        <w:t>(в пересчете на эквивалентную дозу для человека, применяемые дозы превышала используемую в клинических испытаниях максимальную дозу).</w:t>
      </w:r>
      <w:r w:rsidRPr="008470F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Это действие может быть вторичным к снижению запасов витамина D в организме</w:t>
      </w:r>
      <w:r w:rsidR="00601E6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14:paraId="3C8CA547" w14:textId="77777777" w:rsidR="008470F5" w:rsidRPr="008470F5" w:rsidRDefault="00601E6C" w:rsidP="005F450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 беременных крольчих</w:t>
      </w:r>
      <w:r w:rsidR="008470F5" w:rsidRPr="008470F5">
        <w:rPr>
          <w:rFonts w:ascii="Times New Roman" w:eastAsia="Times New Roman" w:hAnsi="Times New Roman"/>
          <w:sz w:val="24"/>
          <w:szCs w:val="24"/>
          <w:lang w:eastAsia="ru-RU"/>
        </w:rPr>
        <w:t>, получавших пероральные дозы севеламера гидрохлорида через желудочный зонд в период органогенеза, в группе  высокой дозы наблюдалось увеличение ранних резорбций (в пересчете на эквивалентную дозу для человека, она в два раза превышала используемую в клинических испытаниях максимальную дозу 14,4 г).</w:t>
      </w:r>
    </w:p>
    <w:p w14:paraId="7AAD7692" w14:textId="77777777" w:rsidR="00CE03ED" w:rsidRDefault="008470F5" w:rsidP="005F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70F5">
        <w:rPr>
          <w:rFonts w:ascii="Times New Roman" w:eastAsia="Times New Roman" w:hAnsi="Times New Roman"/>
          <w:sz w:val="24"/>
          <w:szCs w:val="24"/>
          <w:lang w:eastAsia="ru-RU"/>
        </w:rPr>
        <w:t>Севеламера гидрохлорид не влиял на фертильность самцов или самок крыс в исследовании приема препарата с пищей, в котором самки получали лечение начиная с 14 дней до спаривания, а самцы получали лечение в течение 28 дней до спаривания. Самая высокая доза в этом исследовании составляла 4,5 г/кг/сутки (в пересчете на эквивалентную дозу для человека, она в 2 раза превышала используемую в клинических испытаниях максимальную дозу 13 г/сутки, основываясь на сравнении относительной ППТ).</w:t>
      </w:r>
    </w:p>
    <w:p w14:paraId="6BAAC0D0" w14:textId="77777777" w:rsidR="00F10E00" w:rsidRPr="008470F5" w:rsidRDefault="00F10E00" w:rsidP="005F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10B3DC7C" w14:textId="77777777" w:rsidR="00DF3381" w:rsidRPr="00B56C94" w:rsidRDefault="00DF3381" w:rsidP="005F450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B56C94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B56C94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ФАРМАЦЕВТИЧЕСКИЕ СВОЙСТВА</w:t>
      </w:r>
    </w:p>
    <w:p w14:paraId="5F1E2A55" w14:textId="77777777" w:rsidR="005921EA" w:rsidRPr="00B56C94" w:rsidRDefault="00226060" w:rsidP="005F450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6.1</w:t>
      </w:r>
      <w:r w:rsidR="00DF3381" w:rsidRPr="00B56C9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F3381" w:rsidRPr="00B56C94">
        <w:rPr>
          <w:rFonts w:ascii="Times New Roman" w:eastAsia="TimesNewRomanPSMT" w:hAnsi="Times New Roman"/>
          <w:b/>
          <w:sz w:val="24"/>
          <w:szCs w:val="24"/>
          <w:lang w:eastAsia="ru-RU"/>
        </w:rPr>
        <w:t>Перечень вспомогательных веществ</w:t>
      </w:r>
    </w:p>
    <w:p w14:paraId="234ADBF1" w14:textId="77777777" w:rsidR="0036296A" w:rsidRPr="00907A4C" w:rsidRDefault="0036296A" w:rsidP="005F450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907A4C">
        <w:rPr>
          <w:rFonts w:ascii="Times New Roman" w:eastAsia="TimesNewRomanPSMT" w:hAnsi="Times New Roman"/>
          <w:sz w:val="24"/>
          <w:szCs w:val="24"/>
          <w:lang w:eastAsia="ru-RU"/>
        </w:rPr>
        <w:t xml:space="preserve">Маннитол </w:t>
      </w:r>
    </w:p>
    <w:p w14:paraId="09E476F5" w14:textId="77777777" w:rsidR="0036296A" w:rsidRPr="00907A4C" w:rsidRDefault="0036296A" w:rsidP="005F450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907A4C">
        <w:rPr>
          <w:rFonts w:ascii="Times New Roman" w:eastAsia="TimesNewRomanPSMT" w:hAnsi="Times New Roman"/>
          <w:sz w:val="24"/>
          <w:szCs w:val="24"/>
          <w:lang w:eastAsia="ru-RU"/>
        </w:rPr>
        <w:t>Кремния диоксид коллоидный</w:t>
      </w:r>
      <w:r w:rsidR="007C084B">
        <w:rPr>
          <w:rFonts w:ascii="Times New Roman" w:eastAsia="TimesNewRomanPSMT" w:hAnsi="Times New Roman"/>
          <w:sz w:val="24"/>
          <w:szCs w:val="24"/>
          <w:lang w:eastAsia="ru-RU"/>
        </w:rPr>
        <w:t xml:space="preserve"> безводный</w:t>
      </w:r>
    </w:p>
    <w:p w14:paraId="1CB456A5" w14:textId="77777777" w:rsidR="0036296A" w:rsidRPr="00907A4C" w:rsidRDefault="0036296A" w:rsidP="005F450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907A4C">
        <w:rPr>
          <w:rFonts w:ascii="Times New Roman" w:eastAsia="TimesNewRomanPSMT" w:hAnsi="Times New Roman"/>
          <w:sz w:val="24"/>
          <w:szCs w:val="24"/>
          <w:lang w:eastAsia="ru-RU"/>
        </w:rPr>
        <w:t xml:space="preserve">Цинка стеарат </w:t>
      </w:r>
    </w:p>
    <w:p w14:paraId="4D6CAFEA" w14:textId="77777777" w:rsidR="00907A4C" w:rsidRPr="00907A4C" w:rsidRDefault="00907A4C" w:rsidP="005F450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907A4C">
        <w:rPr>
          <w:rFonts w:ascii="Times New Roman" w:eastAsia="TimesNewRomanPSMT" w:hAnsi="Times New Roman"/>
          <w:i/>
          <w:sz w:val="24"/>
          <w:szCs w:val="24"/>
          <w:lang w:eastAsia="ru-RU"/>
        </w:rPr>
        <w:t>Состав оболочки</w:t>
      </w:r>
      <w:r w:rsidRPr="00226060">
        <w:rPr>
          <w:rFonts w:ascii="Times New Roman" w:eastAsia="TimesNewRomanPSMT" w:hAnsi="Times New Roman"/>
          <w:i/>
          <w:sz w:val="24"/>
          <w:szCs w:val="24"/>
          <w:lang w:eastAsia="ru-RU"/>
        </w:rPr>
        <w:t>:</w:t>
      </w:r>
      <w:r w:rsidR="00226060" w:rsidRPr="004A587B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r w:rsidRPr="00907A4C">
        <w:rPr>
          <w:rFonts w:ascii="Times New Roman" w:eastAsia="TimesNewRomanPSMT" w:hAnsi="Times New Roman"/>
          <w:sz w:val="24"/>
          <w:szCs w:val="24"/>
          <w:lang w:val="en-US" w:eastAsia="ru-RU"/>
        </w:rPr>
        <w:t>Opadry</w:t>
      </w:r>
      <w:r w:rsidRPr="00907A4C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r w:rsidRPr="00907A4C">
        <w:rPr>
          <w:rFonts w:ascii="Times New Roman" w:eastAsia="TimesNewRomanPSMT" w:hAnsi="Times New Roman"/>
          <w:sz w:val="24"/>
          <w:szCs w:val="24"/>
          <w:lang w:val="en-US" w:eastAsia="ru-RU"/>
        </w:rPr>
        <w:t>White</w:t>
      </w:r>
      <w:r w:rsidRPr="00907A4C">
        <w:rPr>
          <w:rFonts w:ascii="Times New Roman" w:eastAsia="TimesNewRomanPSMT" w:hAnsi="Times New Roman"/>
          <w:sz w:val="24"/>
          <w:szCs w:val="24"/>
          <w:lang w:eastAsia="ru-RU"/>
        </w:rPr>
        <w:t xml:space="preserve"> 06</w:t>
      </w:r>
      <w:r w:rsidRPr="00907A4C">
        <w:rPr>
          <w:rFonts w:ascii="Times New Roman" w:eastAsia="TimesNewRomanPSMT" w:hAnsi="Times New Roman"/>
          <w:sz w:val="24"/>
          <w:szCs w:val="24"/>
          <w:lang w:val="en-US" w:eastAsia="ru-RU"/>
        </w:rPr>
        <w:t>A</w:t>
      </w:r>
      <w:r w:rsidRPr="00907A4C">
        <w:rPr>
          <w:rFonts w:ascii="Times New Roman" w:eastAsia="TimesNewRomanPSMT" w:hAnsi="Times New Roman"/>
          <w:sz w:val="24"/>
          <w:szCs w:val="24"/>
          <w:lang w:eastAsia="ru-RU"/>
        </w:rPr>
        <w:t>580002</w:t>
      </w:r>
      <w:r w:rsidR="004A587B">
        <w:rPr>
          <w:rFonts w:ascii="Times New Roman" w:eastAsia="TimesNewRomanPSMT" w:hAnsi="Times New Roman"/>
          <w:sz w:val="24"/>
          <w:szCs w:val="24"/>
          <w:lang w:eastAsia="ru-RU"/>
        </w:rPr>
        <w:t>, в</w:t>
      </w:r>
      <w:r w:rsidRPr="00907A4C">
        <w:rPr>
          <w:rFonts w:ascii="Times New Roman" w:eastAsia="TimesNewRomanPSMT" w:hAnsi="Times New Roman"/>
          <w:sz w:val="24"/>
          <w:szCs w:val="24"/>
          <w:lang w:eastAsia="ru-RU"/>
        </w:rPr>
        <w:t xml:space="preserve">ода очищенная </w:t>
      </w:r>
    </w:p>
    <w:p w14:paraId="5DA571C8" w14:textId="77777777" w:rsidR="00226060" w:rsidRDefault="00907A4C" w:rsidP="004A5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907A4C">
        <w:rPr>
          <w:rFonts w:ascii="Times New Roman" w:eastAsia="TimesNewRomanPSMT" w:hAnsi="Times New Roman"/>
          <w:i/>
          <w:sz w:val="24"/>
          <w:szCs w:val="24"/>
          <w:lang w:eastAsia="ru-RU"/>
        </w:rPr>
        <w:t xml:space="preserve">Состав </w:t>
      </w:r>
      <w:r w:rsidRPr="00907A4C">
        <w:rPr>
          <w:rFonts w:ascii="Times New Roman" w:eastAsia="TimesNewRomanPSMT" w:hAnsi="Times New Roman"/>
          <w:i/>
          <w:sz w:val="24"/>
          <w:szCs w:val="24"/>
          <w:lang w:val="en-US" w:eastAsia="ru-RU"/>
        </w:rPr>
        <w:t>Opadry</w:t>
      </w:r>
      <w:r w:rsidRPr="00907A4C">
        <w:rPr>
          <w:rFonts w:ascii="Times New Roman" w:eastAsia="TimesNewRomanPSMT" w:hAnsi="Times New Roman"/>
          <w:i/>
          <w:sz w:val="24"/>
          <w:szCs w:val="24"/>
          <w:lang w:eastAsia="ru-RU"/>
        </w:rPr>
        <w:t xml:space="preserve"> </w:t>
      </w:r>
      <w:r w:rsidRPr="00907A4C">
        <w:rPr>
          <w:rFonts w:ascii="Times New Roman" w:eastAsia="TimesNewRomanPSMT" w:hAnsi="Times New Roman"/>
          <w:i/>
          <w:sz w:val="24"/>
          <w:szCs w:val="24"/>
          <w:lang w:val="en-US" w:eastAsia="ru-RU"/>
        </w:rPr>
        <w:t>White</w:t>
      </w:r>
      <w:r w:rsidRPr="00907A4C">
        <w:rPr>
          <w:rFonts w:ascii="Times New Roman" w:eastAsia="TimesNewRomanPSMT" w:hAnsi="Times New Roman"/>
          <w:i/>
          <w:sz w:val="24"/>
          <w:szCs w:val="24"/>
          <w:lang w:eastAsia="ru-RU"/>
        </w:rPr>
        <w:t xml:space="preserve"> 06</w:t>
      </w:r>
      <w:r w:rsidRPr="00907A4C">
        <w:rPr>
          <w:rFonts w:ascii="Times New Roman" w:eastAsia="TimesNewRomanPSMT" w:hAnsi="Times New Roman"/>
          <w:i/>
          <w:sz w:val="24"/>
          <w:szCs w:val="24"/>
          <w:lang w:val="en-US" w:eastAsia="ru-RU"/>
        </w:rPr>
        <w:t>A</w:t>
      </w:r>
      <w:r w:rsidRPr="00907A4C">
        <w:rPr>
          <w:rFonts w:ascii="Times New Roman" w:eastAsia="TimesNewRomanPSMT" w:hAnsi="Times New Roman"/>
          <w:i/>
          <w:sz w:val="24"/>
          <w:szCs w:val="24"/>
          <w:lang w:eastAsia="ru-RU"/>
        </w:rPr>
        <w:t>580002</w:t>
      </w:r>
      <w:r w:rsidR="0076443B">
        <w:rPr>
          <w:rFonts w:ascii="Times New Roman" w:eastAsia="TimesNewRomanPSMT" w:hAnsi="Times New Roman"/>
          <w:i/>
          <w:sz w:val="24"/>
          <w:szCs w:val="24"/>
          <w:lang w:eastAsia="ru-RU"/>
        </w:rPr>
        <w:t>:</w:t>
      </w:r>
      <w:r w:rsidR="00226060">
        <w:rPr>
          <w:rFonts w:ascii="Times New Roman" w:eastAsia="TimesNewRomanPSMT" w:hAnsi="Times New Roman"/>
          <w:i/>
          <w:sz w:val="24"/>
          <w:szCs w:val="24"/>
          <w:lang w:eastAsia="ru-RU"/>
        </w:rPr>
        <w:t xml:space="preserve"> </w:t>
      </w:r>
      <w:r w:rsidR="004A587B">
        <w:rPr>
          <w:rFonts w:ascii="Times New Roman" w:eastAsia="TimesNewRomanPSMT" w:hAnsi="Times New Roman"/>
          <w:sz w:val="24"/>
          <w:szCs w:val="24"/>
          <w:lang w:eastAsia="ru-RU"/>
        </w:rPr>
        <w:t>г</w:t>
      </w:r>
      <w:r w:rsidR="005D1403" w:rsidRPr="00907A4C">
        <w:rPr>
          <w:rFonts w:ascii="Times New Roman" w:eastAsia="TimesNewRomanPSMT" w:hAnsi="Times New Roman"/>
          <w:sz w:val="24"/>
          <w:szCs w:val="24"/>
          <w:lang w:eastAsia="ru-RU"/>
        </w:rPr>
        <w:t>ипромеллоза 15сР</w:t>
      </w:r>
      <w:r w:rsidR="00226060">
        <w:rPr>
          <w:rFonts w:ascii="Times New Roman" w:eastAsia="TimesNewRomanPSMT" w:hAnsi="Times New Roman"/>
          <w:sz w:val="24"/>
          <w:szCs w:val="24"/>
          <w:lang w:eastAsia="ru-RU"/>
        </w:rPr>
        <w:t xml:space="preserve">, </w:t>
      </w:r>
      <w:r w:rsidR="004A587B">
        <w:rPr>
          <w:rFonts w:ascii="Times New Roman" w:eastAsia="TimesNewRomanPSMT" w:hAnsi="Times New Roman"/>
          <w:sz w:val="24"/>
          <w:szCs w:val="24"/>
          <w:lang w:eastAsia="ru-RU"/>
        </w:rPr>
        <w:t>г</w:t>
      </w:r>
      <w:r w:rsidR="005D1403" w:rsidRPr="00907A4C">
        <w:rPr>
          <w:rFonts w:ascii="Times New Roman" w:eastAsia="TimesNewRomanPSMT" w:hAnsi="Times New Roman"/>
          <w:sz w:val="24"/>
          <w:szCs w:val="24"/>
          <w:lang w:eastAsia="ru-RU"/>
        </w:rPr>
        <w:t>ипромеллоза 5сР</w:t>
      </w:r>
      <w:r w:rsidR="00226060">
        <w:rPr>
          <w:rFonts w:ascii="Times New Roman" w:eastAsia="TimesNewRomanPSMT" w:hAnsi="Times New Roman"/>
          <w:sz w:val="24"/>
          <w:szCs w:val="24"/>
          <w:lang w:eastAsia="ru-RU"/>
        </w:rPr>
        <w:t xml:space="preserve">, </w:t>
      </w:r>
      <w:r w:rsidR="004A587B">
        <w:rPr>
          <w:rFonts w:ascii="Times New Roman" w:eastAsia="TimesNewRomanPSMT" w:hAnsi="Times New Roman"/>
          <w:sz w:val="24"/>
          <w:szCs w:val="24"/>
          <w:lang w:eastAsia="ru-RU"/>
        </w:rPr>
        <w:t>т</w:t>
      </w:r>
      <w:r w:rsidR="005D1403" w:rsidRPr="00907A4C">
        <w:rPr>
          <w:rFonts w:ascii="Times New Roman" w:eastAsia="TimesNewRomanPSMT" w:hAnsi="Times New Roman"/>
          <w:sz w:val="24"/>
          <w:szCs w:val="24"/>
          <w:lang w:eastAsia="ru-RU"/>
        </w:rPr>
        <w:t>итана</w:t>
      </w:r>
      <w:r w:rsidR="00226060">
        <w:rPr>
          <w:rFonts w:ascii="Times New Roman" w:eastAsia="TimesNewRomanPSMT" w:hAnsi="Times New Roman"/>
          <w:sz w:val="24"/>
          <w:szCs w:val="24"/>
          <w:lang w:eastAsia="ru-RU"/>
        </w:rPr>
        <w:t xml:space="preserve"> диоксид (Е 171), </w:t>
      </w:r>
      <w:r w:rsidR="004A587B">
        <w:rPr>
          <w:rFonts w:ascii="Times New Roman" w:eastAsia="TimesNewRomanPSMT" w:hAnsi="Times New Roman"/>
          <w:sz w:val="24"/>
          <w:szCs w:val="24"/>
          <w:lang w:eastAsia="ru-RU"/>
        </w:rPr>
        <w:t>д</w:t>
      </w:r>
      <w:r w:rsidR="005D1403" w:rsidRPr="00907A4C">
        <w:rPr>
          <w:rFonts w:ascii="Times New Roman" w:eastAsia="TimesNewRomanPSMT" w:hAnsi="Times New Roman"/>
          <w:sz w:val="24"/>
          <w:szCs w:val="24"/>
          <w:lang w:eastAsia="ru-RU"/>
        </w:rPr>
        <w:t>и-ацетила моноглицерид FCC</w:t>
      </w:r>
      <w:r w:rsidR="00226060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</w:p>
    <w:p w14:paraId="2F0AF454" w14:textId="77777777" w:rsidR="00DF3381" w:rsidRDefault="00226060" w:rsidP="005F450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6.2</w:t>
      </w:r>
      <w:r w:rsidR="00DF3381" w:rsidRPr="00B56C9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F3381" w:rsidRPr="00B56C94">
        <w:rPr>
          <w:rFonts w:ascii="Times New Roman" w:eastAsia="TimesNewRomanPSMT" w:hAnsi="Times New Roman"/>
          <w:b/>
          <w:sz w:val="24"/>
          <w:szCs w:val="24"/>
          <w:lang w:eastAsia="ru-RU"/>
        </w:rPr>
        <w:t>Несовместимость</w:t>
      </w:r>
    </w:p>
    <w:p w14:paraId="524BF8DB" w14:textId="77777777" w:rsidR="0036296A" w:rsidRPr="0036296A" w:rsidRDefault="0036296A" w:rsidP="005F450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6296A">
        <w:rPr>
          <w:rFonts w:ascii="Times New Roman" w:eastAsia="TimesNewRomanPSMT" w:hAnsi="Times New Roman"/>
          <w:sz w:val="24"/>
          <w:szCs w:val="24"/>
          <w:lang w:eastAsia="ru-RU"/>
        </w:rPr>
        <w:t>Не применимо.</w:t>
      </w:r>
    </w:p>
    <w:p w14:paraId="4796C831" w14:textId="77777777" w:rsidR="009128A3" w:rsidRPr="00B56C94" w:rsidRDefault="009128A3" w:rsidP="005F45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B56C94">
        <w:rPr>
          <w:rFonts w:ascii="Times New Roman" w:hAnsi="Times New Roman"/>
          <w:b/>
          <w:sz w:val="24"/>
          <w:szCs w:val="24"/>
          <w:lang w:bidi="ru-RU"/>
        </w:rPr>
        <w:t>6.3</w:t>
      </w:r>
      <w:r w:rsidRPr="00B56C94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56C94">
        <w:rPr>
          <w:rFonts w:ascii="Times New Roman" w:hAnsi="Times New Roman"/>
          <w:b/>
          <w:sz w:val="24"/>
          <w:szCs w:val="24"/>
          <w:lang w:bidi="ru-RU"/>
        </w:rPr>
        <w:t>Срок годности</w:t>
      </w:r>
    </w:p>
    <w:p w14:paraId="7E8AE972" w14:textId="77777777" w:rsidR="00CE03ED" w:rsidRPr="00B56C94" w:rsidRDefault="0036296A" w:rsidP="005F45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2 года.</w:t>
      </w:r>
    </w:p>
    <w:p w14:paraId="322ABEF7" w14:textId="77777777" w:rsidR="00CE03ED" w:rsidRPr="00B56C94" w:rsidRDefault="00CE03ED" w:rsidP="005F4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3B5">
        <w:rPr>
          <w:rFonts w:ascii="Times New Roman" w:hAnsi="Times New Roman"/>
          <w:sz w:val="24"/>
          <w:szCs w:val="24"/>
          <w:lang w:bidi="ru-RU"/>
        </w:rPr>
        <w:lastRenderedPageBreak/>
        <w:t>Не применять по истечении срока годности.</w:t>
      </w:r>
    </w:p>
    <w:p w14:paraId="2CECC9A5" w14:textId="77777777" w:rsidR="00632571" w:rsidRPr="00B56C94" w:rsidRDefault="00632571" w:rsidP="005F45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6.4 </w:t>
      </w:r>
      <w:r w:rsidRPr="00B56C94">
        <w:rPr>
          <w:rFonts w:ascii="Times New Roman" w:hAnsi="Times New Roman"/>
          <w:b/>
          <w:sz w:val="24"/>
          <w:szCs w:val="24"/>
          <w:lang w:bidi="ru-RU"/>
        </w:rPr>
        <w:t xml:space="preserve">Особые </w:t>
      </w:r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>меры предосторожности при хранении</w:t>
      </w:r>
    </w:p>
    <w:p w14:paraId="13009676" w14:textId="77777777" w:rsidR="006F4AA9" w:rsidRDefault="006F4AA9" w:rsidP="005F4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4AA9">
        <w:rPr>
          <w:rFonts w:ascii="Times New Roman" w:hAnsi="Times New Roman"/>
          <w:sz w:val="24"/>
          <w:szCs w:val="24"/>
        </w:rPr>
        <w:t>Хранить в сухом, защищённом от света месте при температуре  не выше 30 ºС.</w:t>
      </w:r>
    </w:p>
    <w:p w14:paraId="1898E657" w14:textId="77777777" w:rsidR="00632571" w:rsidRPr="00B56C94" w:rsidRDefault="00632571" w:rsidP="005F45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4AA9">
        <w:rPr>
          <w:rFonts w:ascii="Times New Roman" w:hAnsi="Times New Roman"/>
          <w:sz w:val="24"/>
          <w:szCs w:val="24"/>
        </w:rPr>
        <w:t>Хранить в недоступном для детей месте!</w:t>
      </w:r>
      <w:r w:rsidRPr="00B56C94">
        <w:rPr>
          <w:rFonts w:ascii="Times New Roman" w:hAnsi="Times New Roman"/>
          <w:sz w:val="24"/>
          <w:szCs w:val="24"/>
        </w:rPr>
        <w:t xml:space="preserve"> </w:t>
      </w:r>
      <w:bookmarkStart w:id="8" w:name="2175220289"/>
    </w:p>
    <w:bookmarkEnd w:id="8"/>
    <w:p w14:paraId="3CC9574C" w14:textId="77777777" w:rsidR="00B90A1E" w:rsidRPr="00B56C94" w:rsidRDefault="00EC480E" w:rsidP="005F450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B56C94">
        <w:rPr>
          <w:rFonts w:ascii="Times New Roman" w:hAnsi="Times New Roman"/>
          <w:b/>
          <w:sz w:val="24"/>
          <w:szCs w:val="24"/>
          <w:lang w:eastAsia="ru-RU"/>
        </w:rPr>
        <w:t>6.5</w:t>
      </w:r>
      <w:r w:rsidR="00B90A1E" w:rsidRPr="00B56C9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16507" w:rsidRPr="00B56C94">
        <w:rPr>
          <w:rFonts w:ascii="Times New Roman" w:eastAsia="TimesNewRomanPSMT" w:hAnsi="Times New Roman"/>
          <w:b/>
          <w:sz w:val="24"/>
          <w:szCs w:val="24"/>
          <w:lang w:eastAsia="ru-RU"/>
        </w:rPr>
        <w:t>Форма выпуска и упаковка</w:t>
      </w:r>
      <w:r w:rsidR="00B90A1E" w:rsidRPr="00B56C94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</w:p>
    <w:p w14:paraId="1326C139" w14:textId="77777777" w:rsidR="004E08CA" w:rsidRPr="00226060" w:rsidRDefault="004E08CA" w:rsidP="005F450A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i/>
          <w:lang w:bidi="ru-RU"/>
        </w:rPr>
      </w:pPr>
      <w:r w:rsidRPr="00226060">
        <w:rPr>
          <w:rFonts w:eastAsia="Microsoft Sans Serif"/>
          <w:i/>
          <w:lang w:bidi="ru-RU"/>
        </w:rPr>
        <w:t>Севкар 400 мг</w:t>
      </w:r>
    </w:p>
    <w:p w14:paraId="50CF6D8A" w14:textId="77777777" w:rsidR="00913274" w:rsidRPr="00913274" w:rsidRDefault="00913274" w:rsidP="005F450A">
      <w:pPr>
        <w:pStyle w:val="Style5"/>
        <w:tabs>
          <w:tab w:val="left" w:pos="7371"/>
        </w:tabs>
        <w:spacing w:line="240" w:lineRule="auto"/>
        <w:rPr>
          <w:szCs w:val="20"/>
        </w:rPr>
      </w:pPr>
      <w:r w:rsidRPr="00913274">
        <w:rPr>
          <w:szCs w:val="20"/>
        </w:rPr>
        <w:t>По 10 таблеток в контурную ячейковую упаковку из  алюминиевой фольги (OPA/ALU/PVC)/алюминиевой фольги (Alu|Alu).</w:t>
      </w:r>
    </w:p>
    <w:p w14:paraId="40AA2C10" w14:textId="77777777" w:rsidR="00913274" w:rsidRDefault="00913274" w:rsidP="005F450A">
      <w:pPr>
        <w:pStyle w:val="Style5"/>
        <w:widowControl/>
        <w:tabs>
          <w:tab w:val="left" w:pos="7371"/>
        </w:tabs>
        <w:spacing w:line="240" w:lineRule="auto"/>
        <w:rPr>
          <w:szCs w:val="20"/>
        </w:rPr>
      </w:pPr>
      <w:r w:rsidRPr="00913274">
        <w:rPr>
          <w:szCs w:val="20"/>
        </w:rPr>
        <w:t xml:space="preserve">По 5 контурных ячейковых упаковок вместе с инструкцией по медицинскому применению на </w:t>
      </w:r>
      <w:r w:rsidR="004A587B">
        <w:rPr>
          <w:szCs w:val="20"/>
        </w:rPr>
        <w:t>казахском</w:t>
      </w:r>
      <w:r w:rsidRPr="00913274">
        <w:rPr>
          <w:szCs w:val="20"/>
        </w:rPr>
        <w:t xml:space="preserve"> и русском языках помещают в пачку из картона.</w:t>
      </w:r>
    </w:p>
    <w:p w14:paraId="5B692EFD" w14:textId="77777777" w:rsidR="004E08CA" w:rsidRPr="00226060" w:rsidRDefault="004E08CA" w:rsidP="005F450A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i/>
          <w:lang w:bidi="ru-RU"/>
        </w:rPr>
      </w:pPr>
      <w:r w:rsidRPr="00226060">
        <w:rPr>
          <w:rFonts w:eastAsia="Microsoft Sans Serif"/>
          <w:i/>
          <w:lang w:bidi="ru-RU"/>
        </w:rPr>
        <w:t>Севкар 800 мг</w:t>
      </w:r>
    </w:p>
    <w:p w14:paraId="6D3C7D32" w14:textId="77777777" w:rsidR="00913274" w:rsidRPr="00913274" w:rsidRDefault="00913274" w:rsidP="005F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13274">
        <w:rPr>
          <w:rFonts w:ascii="Times New Roman" w:eastAsia="Times New Roman" w:hAnsi="Times New Roman"/>
          <w:sz w:val="24"/>
          <w:szCs w:val="20"/>
          <w:lang w:eastAsia="ru-RU"/>
        </w:rPr>
        <w:t>По 10 таблеток в контурную ячейковую упаковку из  алюминиевой фольги (OPA/ALU/PVC)/алюминиевой фольги (Alu|Alu).</w:t>
      </w:r>
    </w:p>
    <w:p w14:paraId="449BC679" w14:textId="77777777" w:rsidR="00913274" w:rsidRDefault="00913274" w:rsidP="005F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913274">
        <w:rPr>
          <w:rFonts w:ascii="Times New Roman" w:eastAsia="Times New Roman" w:hAnsi="Times New Roman"/>
          <w:sz w:val="24"/>
          <w:szCs w:val="20"/>
          <w:lang w:eastAsia="ru-RU"/>
        </w:rPr>
        <w:t xml:space="preserve">По 5 контурных ячейковых упаковок вместе с инструкцией по медицинскому применению на </w:t>
      </w:r>
      <w:r w:rsidR="004A587B">
        <w:rPr>
          <w:rFonts w:ascii="Times New Roman" w:eastAsia="Times New Roman" w:hAnsi="Times New Roman"/>
          <w:sz w:val="24"/>
          <w:szCs w:val="20"/>
          <w:lang w:eastAsia="ru-RU"/>
        </w:rPr>
        <w:t>казахском</w:t>
      </w:r>
      <w:r w:rsidRPr="00913274">
        <w:rPr>
          <w:rFonts w:ascii="Times New Roman" w:eastAsia="Times New Roman" w:hAnsi="Times New Roman"/>
          <w:sz w:val="24"/>
          <w:szCs w:val="20"/>
          <w:lang w:eastAsia="ru-RU"/>
        </w:rPr>
        <w:t xml:space="preserve"> и русском языках помещают в пачку из картона.</w:t>
      </w:r>
    </w:p>
    <w:p w14:paraId="2719EB99" w14:textId="77777777" w:rsidR="00B90A1E" w:rsidRPr="00B56C94" w:rsidRDefault="00B90A1E" w:rsidP="005F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B56C94">
        <w:rPr>
          <w:rFonts w:ascii="Times New Roman" w:hAnsi="Times New Roman"/>
          <w:b/>
          <w:sz w:val="24"/>
          <w:szCs w:val="24"/>
          <w:lang w:eastAsia="ru-RU"/>
        </w:rPr>
        <w:t xml:space="preserve">6.6 </w:t>
      </w:r>
      <w:r w:rsidRPr="00B56C94">
        <w:rPr>
          <w:rFonts w:ascii="Times New Roman" w:eastAsia="TimesNewRomanPSMT" w:hAnsi="Times New Roman"/>
          <w:b/>
          <w:sz w:val="24"/>
          <w:szCs w:val="24"/>
          <w:lang w:eastAsia="ru-RU"/>
        </w:rPr>
        <w:t>Особые меры предосторожности при уничтожении</w:t>
      </w:r>
      <w:r w:rsidR="00A26BB4" w:rsidRPr="00B56C94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B56C94">
        <w:rPr>
          <w:rFonts w:ascii="Times New Roman" w:eastAsia="TimesNewRomanPSMT" w:hAnsi="Times New Roman"/>
          <w:b/>
          <w:sz w:val="24"/>
          <w:szCs w:val="24"/>
          <w:lang w:eastAsia="ru-RU"/>
        </w:rPr>
        <w:t>использованного лекарственного препарата или отходов, полученных</w:t>
      </w:r>
      <w:r w:rsidR="00A26BB4" w:rsidRPr="00B56C94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B56C94">
        <w:rPr>
          <w:rFonts w:ascii="Times New Roman" w:eastAsia="TimesNewRomanPSMT" w:hAnsi="Times New Roman"/>
          <w:b/>
          <w:sz w:val="24"/>
          <w:szCs w:val="24"/>
          <w:lang w:eastAsia="ru-RU"/>
        </w:rPr>
        <w:t>после применения лекарственного препарата или работы с ним.</w:t>
      </w:r>
    </w:p>
    <w:p w14:paraId="287005AE" w14:textId="77777777" w:rsidR="00DE2DF2" w:rsidRDefault="00DE2DF2" w:rsidP="005F45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E2DF2">
        <w:rPr>
          <w:rFonts w:ascii="Times New Roman" w:hAnsi="Times New Roman"/>
          <w:sz w:val="24"/>
          <w:szCs w:val="24"/>
        </w:rPr>
        <w:t xml:space="preserve">Любой неиспользованный медицинский продукт или 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DE2DF2">
        <w:rPr>
          <w:rFonts w:ascii="Times New Roman" w:hAnsi="Times New Roman"/>
          <w:sz w:val="24"/>
          <w:szCs w:val="24"/>
        </w:rPr>
        <w:t>отходы следует утилизировать в соответствии с местными требованиями.</w:t>
      </w:r>
    </w:p>
    <w:p w14:paraId="6C96A76B" w14:textId="77777777" w:rsidR="00724DB0" w:rsidRPr="00B56C94" w:rsidRDefault="004200EA" w:rsidP="005F45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56C94">
        <w:rPr>
          <w:rFonts w:ascii="Times New Roman" w:hAnsi="Times New Roman"/>
          <w:b/>
          <w:bCs/>
          <w:sz w:val="24"/>
          <w:szCs w:val="24"/>
        </w:rPr>
        <w:t xml:space="preserve">6.7 </w:t>
      </w:r>
      <w:r w:rsidR="005921EA" w:rsidRPr="00B56C94">
        <w:rPr>
          <w:rFonts w:ascii="Times New Roman" w:hAnsi="Times New Roman"/>
          <w:b/>
          <w:bCs/>
          <w:sz w:val="24"/>
          <w:szCs w:val="24"/>
        </w:rPr>
        <w:t>Условия о</w:t>
      </w:r>
      <w:r w:rsidRPr="00B56C94">
        <w:rPr>
          <w:rFonts w:ascii="Times New Roman" w:hAnsi="Times New Roman"/>
          <w:b/>
          <w:bCs/>
          <w:sz w:val="24"/>
          <w:szCs w:val="24"/>
        </w:rPr>
        <w:t>тпуск</w:t>
      </w:r>
      <w:r w:rsidR="005921EA" w:rsidRPr="00B56C94">
        <w:rPr>
          <w:rFonts w:ascii="Times New Roman" w:hAnsi="Times New Roman"/>
          <w:b/>
          <w:bCs/>
          <w:sz w:val="24"/>
          <w:szCs w:val="24"/>
        </w:rPr>
        <w:t>а</w:t>
      </w:r>
      <w:r w:rsidRPr="00B56C94">
        <w:rPr>
          <w:rFonts w:ascii="Times New Roman" w:hAnsi="Times New Roman"/>
          <w:b/>
          <w:bCs/>
          <w:sz w:val="24"/>
          <w:szCs w:val="24"/>
        </w:rPr>
        <w:t xml:space="preserve"> из аптек</w:t>
      </w:r>
      <w:r w:rsidR="00D041C3" w:rsidRPr="00B56C9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AA1B173" w14:textId="77777777" w:rsidR="004200EA" w:rsidRPr="00B56C94" w:rsidRDefault="007F7D06" w:rsidP="005F45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рецепту</w:t>
      </w:r>
    </w:p>
    <w:p w14:paraId="58217319" w14:textId="77777777" w:rsidR="00D041C3" w:rsidRPr="00B56C94" w:rsidRDefault="00D041C3" w:rsidP="005F45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6497C9F" w14:textId="77777777" w:rsidR="00120934" w:rsidRPr="00B56C94" w:rsidRDefault="008407EF" w:rsidP="005F45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6C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 ДЕРЖАТЕЛЬ</w:t>
      </w:r>
      <w:r w:rsidRPr="00B56C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РЕГИСТРАЦИОННОГО УДОСТОВЕРЕНИЯ</w:t>
      </w:r>
    </w:p>
    <w:p w14:paraId="1C3EA0E0" w14:textId="77777777" w:rsidR="005C6AF8" w:rsidRDefault="005C6AF8" w:rsidP="005F450A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5C6AF8">
        <w:rPr>
          <w:rFonts w:eastAsia="Microsoft Sans Serif"/>
          <w:lang w:bidi="ru-RU"/>
        </w:rPr>
        <w:t>Emcure Pharmaceuticals Ltd</w:t>
      </w:r>
      <w:r w:rsidR="00F03722">
        <w:rPr>
          <w:rFonts w:eastAsia="Microsoft Sans Serif"/>
          <w:lang w:bidi="ru-RU"/>
        </w:rPr>
        <w:t>.</w:t>
      </w:r>
    </w:p>
    <w:p w14:paraId="29AE854C" w14:textId="77777777" w:rsidR="004A587B" w:rsidRPr="004A587B" w:rsidRDefault="004A587B" w:rsidP="004A587B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val="en-US" w:eastAsia="ru-RU" w:bidi="ru-RU"/>
        </w:rPr>
      </w:pPr>
      <w:r w:rsidRPr="004A587B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«Emcure House», T-184, M.I.D.C., Bhosari,</w:t>
      </w:r>
    </w:p>
    <w:p w14:paraId="273C78DF" w14:textId="77777777" w:rsidR="004A587B" w:rsidRPr="004A587B" w:rsidRDefault="004A587B" w:rsidP="004A587B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val="en-US" w:eastAsia="ru-RU" w:bidi="ru-RU"/>
        </w:rPr>
      </w:pPr>
      <w:r w:rsidRPr="004A587B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Pune – 411026, India (</w:t>
      </w:r>
      <w:r w:rsidRPr="004A587B">
        <w:rPr>
          <w:rFonts w:ascii="Times New Roman" w:eastAsia="Microsoft Sans Serif" w:hAnsi="Times New Roman"/>
          <w:sz w:val="24"/>
          <w:szCs w:val="24"/>
          <w:lang w:eastAsia="ru-RU" w:bidi="ru-RU"/>
        </w:rPr>
        <w:t>Индия</w:t>
      </w:r>
      <w:r w:rsidRPr="004A587B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)</w:t>
      </w:r>
    </w:p>
    <w:p w14:paraId="55F5C8B2" w14:textId="77777777" w:rsidR="004A587B" w:rsidRPr="004A587B" w:rsidRDefault="004A587B" w:rsidP="004A587B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val="en-US" w:eastAsia="ru-RU" w:bidi="ru-RU"/>
        </w:rPr>
      </w:pPr>
      <w:r w:rsidRPr="004A587B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e-mail: Safety.ROW@emcure.co.in</w:t>
      </w:r>
    </w:p>
    <w:p w14:paraId="51212BA8" w14:textId="77777777" w:rsidR="00215CBB" w:rsidRPr="004A587B" w:rsidRDefault="00215CBB" w:rsidP="005F45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14:paraId="0094A174" w14:textId="77777777" w:rsidR="00593F7B" w:rsidRDefault="00226060" w:rsidP="005F45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7.1</w:t>
      </w:r>
      <w:r w:rsidR="00593F7B" w:rsidRPr="00B56C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ПРЕДСТАВИТЕЛЬ ДЕРЖАТЕЛЯ РЕГИСТРАЦИОННОГО УДОСТОВЕРЕНИЯ</w:t>
      </w:r>
    </w:p>
    <w:p w14:paraId="61029550" w14:textId="77777777" w:rsidR="00B1276D" w:rsidRPr="00B1276D" w:rsidRDefault="00B1276D" w:rsidP="005F45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1276D">
        <w:rPr>
          <w:rFonts w:ascii="Times New Roman" w:eastAsia="Times New Roman" w:hAnsi="Times New Roman"/>
          <w:sz w:val="24"/>
          <w:szCs w:val="24"/>
          <w:lang w:val="uk-UA" w:eastAsia="ru-RU"/>
        </w:rPr>
        <w:t>Претензии потребителей направлять по адресу:</w:t>
      </w:r>
    </w:p>
    <w:p w14:paraId="3B27046B" w14:textId="77777777" w:rsidR="00B1276D" w:rsidRPr="00B1276D" w:rsidRDefault="00B1276D" w:rsidP="005F45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1276D">
        <w:rPr>
          <w:rFonts w:ascii="Times New Roman" w:eastAsia="Times New Roman" w:hAnsi="Times New Roman"/>
          <w:sz w:val="24"/>
          <w:szCs w:val="24"/>
          <w:lang w:val="uk-UA" w:eastAsia="ru-RU"/>
        </w:rPr>
        <w:t>ТОО «REGICOM»</w:t>
      </w:r>
    </w:p>
    <w:p w14:paraId="62E14074" w14:textId="77777777" w:rsidR="00B1276D" w:rsidRPr="00B1276D" w:rsidRDefault="00B1276D" w:rsidP="005F45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1276D">
        <w:rPr>
          <w:rFonts w:ascii="Times New Roman" w:eastAsia="Times New Roman" w:hAnsi="Times New Roman"/>
          <w:sz w:val="24"/>
          <w:szCs w:val="24"/>
          <w:lang w:val="uk-UA" w:eastAsia="ru-RU"/>
        </w:rPr>
        <w:t>Республика Казахстан, 050000, г. Алматы, пр. Абылай хана, 122, оф. 12</w:t>
      </w:r>
    </w:p>
    <w:p w14:paraId="76729C32" w14:textId="77777777" w:rsidR="00B1276D" w:rsidRPr="00B1276D" w:rsidRDefault="00B1276D" w:rsidP="005F45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1276D">
        <w:rPr>
          <w:rFonts w:ascii="Times New Roman" w:eastAsia="Times New Roman" w:hAnsi="Times New Roman"/>
          <w:sz w:val="24"/>
          <w:szCs w:val="24"/>
          <w:lang w:val="uk-UA" w:eastAsia="ru-RU"/>
        </w:rPr>
        <w:t>Тел. +7(727) 261-22-15, +7 705 132 78-51</w:t>
      </w:r>
    </w:p>
    <w:p w14:paraId="25DF263F" w14:textId="77777777" w:rsidR="00B1276D" w:rsidRPr="00B1276D" w:rsidRDefault="00B1276D" w:rsidP="005F45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1276D">
        <w:rPr>
          <w:rFonts w:ascii="Times New Roman" w:eastAsia="Times New Roman" w:hAnsi="Times New Roman"/>
          <w:sz w:val="24"/>
          <w:szCs w:val="24"/>
          <w:lang w:val="uk-UA" w:eastAsia="ru-RU"/>
        </w:rPr>
        <w:t>e-mail: safety@regicompany.com</w:t>
      </w:r>
    </w:p>
    <w:p w14:paraId="7CCB10EE" w14:textId="77777777" w:rsidR="00106601" w:rsidRPr="00B1276D" w:rsidRDefault="00106601" w:rsidP="005F45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55576B2" w14:textId="77777777" w:rsidR="002511DF" w:rsidRPr="009E2724" w:rsidRDefault="002511DF" w:rsidP="005F45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6C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8. НОМЕР РЕГИСТРАЦИОННОГО УДОСТОВЕРЕНИЯ</w:t>
      </w:r>
    </w:p>
    <w:p w14:paraId="0AB74470" w14:textId="77777777" w:rsidR="00215CBB" w:rsidRPr="00B56C94" w:rsidRDefault="00215CBB" w:rsidP="005F45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3C931E3" w14:textId="77777777" w:rsidR="002511DF" w:rsidRPr="00B56C94" w:rsidRDefault="002511DF" w:rsidP="005F450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56C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9. ДАТА ПЕРВИЧНОЙ РЕГИСТРАЦИИ (ПОДТВЕРЖДЕНИЯ РЕГИСТРАЦИИ, ПЕРЕРЕГИСТРАЦИИ)</w:t>
      </w:r>
    </w:p>
    <w:p w14:paraId="488BA9F4" w14:textId="77777777" w:rsidR="002511DF" w:rsidRPr="00B56C94" w:rsidRDefault="002511DF" w:rsidP="005F450A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B56C94">
        <w:rPr>
          <w:rFonts w:eastAsia="Microsoft Sans Serif"/>
          <w:lang w:bidi="ru-RU"/>
        </w:rPr>
        <w:t>Дата п</w:t>
      </w:r>
      <w:r w:rsidR="004A587B">
        <w:rPr>
          <w:rFonts w:eastAsia="Microsoft Sans Serif"/>
          <w:lang w:bidi="ru-RU"/>
        </w:rPr>
        <w:t xml:space="preserve">ервой регистрации: </w:t>
      </w:r>
    </w:p>
    <w:p w14:paraId="3103E356" w14:textId="77777777" w:rsidR="00501657" w:rsidRPr="00B56C94" w:rsidRDefault="002511DF" w:rsidP="005F450A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B56C94">
        <w:rPr>
          <w:rFonts w:eastAsia="Microsoft Sans Serif"/>
          <w:lang w:bidi="ru-RU"/>
        </w:rPr>
        <w:t xml:space="preserve">Дата последнего подтверждения регистрации (перерегистрации): </w:t>
      </w:r>
    </w:p>
    <w:p w14:paraId="7D353115" w14:textId="77777777" w:rsidR="00B91443" w:rsidRPr="00B56C94" w:rsidRDefault="00B91443" w:rsidP="005F450A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</w:p>
    <w:p w14:paraId="7CA8E078" w14:textId="77777777" w:rsidR="00DF47EB" w:rsidRPr="00B56C94" w:rsidRDefault="00DF47EB" w:rsidP="005F450A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B56C94">
        <w:rPr>
          <w:rFonts w:ascii="Times New Roman" w:hAnsi="Times New Roman"/>
          <w:b/>
          <w:sz w:val="24"/>
          <w:szCs w:val="24"/>
        </w:rPr>
        <w:t xml:space="preserve">10. </w:t>
      </w:r>
      <w:r w:rsidRPr="00B56C94">
        <w:rPr>
          <w:rFonts w:ascii="Times New Roman" w:hAnsi="Times New Roman"/>
          <w:b/>
          <w:caps/>
          <w:sz w:val="24"/>
          <w:szCs w:val="24"/>
        </w:rPr>
        <w:t xml:space="preserve">Дата пересмотра текста </w:t>
      </w:r>
    </w:p>
    <w:p w14:paraId="75B866E2" w14:textId="77777777" w:rsidR="00B91443" w:rsidRPr="00B56C94" w:rsidRDefault="00B91443" w:rsidP="005F450A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B56C94">
        <w:rPr>
          <w:rFonts w:ascii="Times New Roman" w:eastAsia="TimesNewRomanPSMT" w:hAnsi="Times New Roman"/>
          <w:sz w:val="24"/>
          <w:szCs w:val="24"/>
          <w:lang w:eastAsia="ru-RU"/>
        </w:rPr>
        <w:t xml:space="preserve">Общая характеристика лекарственного препарата доступна на официальном сайте </w:t>
      </w:r>
      <w:hyperlink r:id="rId9" w:history="1">
        <w:r w:rsidRPr="00B56C94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Pr="00B56C94">
          <w:rPr>
            <w:rStyle w:val="af"/>
            <w:rFonts w:ascii="Times New Roman" w:hAnsi="Times New Roman"/>
            <w:sz w:val="24"/>
            <w:szCs w:val="24"/>
          </w:rPr>
          <w:t>://</w:t>
        </w:r>
        <w:r w:rsidRPr="00B56C94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Pr="00B56C94">
          <w:rPr>
            <w:rStyle w:val="af"/>
            <w:rFonts w:ascii="Times New Roman" w:hAnsi="Times New Roman"/>
            <w:sz w:val="24"/>
            <w:szCs w:val="24"/>
          </w:rPr>
          <w:t>.</w:t>
        </w:r>
        <w:r w:rsidRPr="00B56C94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r w:rsidRPr="00B56C94">
          <w:rPr>
            <w:rStyle w:val="af"/>
            <w:rFonts w:ascii="Times New Roman" w:hAnsi="Times New Roman"/>
            <w:sz w:val="24"/>
            <w:szCs w:val="24"/>
          </w:rPr>
          <w:t>.</w:t>
        </w:r>
        <w:r w:rsidRPr="00B56C94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</w:hyperlink>
      <w:r w:rsidRPr="00B56C94">
        <w:rPr>
          <w:rFonts w:ascii="Times New Roman" w:hAnsi="Times New Roman"/>
          <w:sz w:val="24"/>
          <w:szCs w:val="24"/>
        </w:rPr>
        <w:t xml:space="preserve"> </w:t>
      </w:r>
    </w:p>
    <w:sectPr w:rsidR="00B91443" w:rsidRPr="00B56C94" w:rsidSect="005F450A">
      <w:head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A3970" w14:textId="77777777" w:rsidR="00ED7522" w:rsidRDefault="00ED7522" w:rsidP="00D275FC">
      <w:pPr>
        <w:spacing w:after="0" w:line="240" w:lineRule="auto"/>
      </w:pPr>
      <w:r>
        <w:separator/>
      </w:r>
    </w:p>
  </w:endnote>
  <w:endnote w:type="continuationSeparator" w:id="0">
    <w:p w14:paraId="62172959" w14:textId="77777777" w:rsidR="00ED7522" w:rsidRDefault="00ED7522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7" w:usb1="08070000" w:usb2="00000010" w:usb3="00000000" w:csb0="0002001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2EC10" w14:textId="77777777" w:rsidR="00ED7522" w:rsidRDefault="00ED7522" w:rsidP="00D275FC">
      <w:pPr>
        <w:spacing w:after="0" w:line="240" w:lineRule="auto"/>
      </w:pPr>
      <w:r>
        <w:separator/>
      </w:r>
    </w:p>
  </w:footnote>
  <w:footnote w:type="continuationSeparator" w:id="0">
    <w:p w14:paraId="1B17F5C1" w14:textId="77777777" w:rsidR="00ED7522" w:rsidRDefault="00ED7522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7105D" w14:textId="77777777" w:rsidR="00D275FC" w:rsidRDefault="008F5FD2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D7C034" wp14:editId="57F54482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522336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D7C034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77522336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alt="Описание: Description: BT_1000x858px" style="width:15.6pt;height:13.8pt;visibility:visible" o:bullet="t">
        <v:imagedata r:id="rId1" o:title=" BT_1000x858px"/>
      </v:shape>
    </w:pict>
  </w:numPicBullet>
  <w:abstractNum w:abstractNumId="0" w15:restartNumberingAfterBreak="0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10067"/>
    <w:multiLevelType w:val="hybridMultilevel"/>
    <w:tmpl w:val="218A2096"/>
    <w:lvl w:ilvl="0" w:tplc="04190001">
      <w:start w:val="1"/>
      <w:numFmt w:val="bullet"/>
      <w:lvlText w:val=""/>
      <w:lvlJc w:val="left"/>
      <w:pPr>
        <w:ind w:left="3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</w:abstractNum>
  <w:abstractNum w:abstractNumId="14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3"/>
  </w:num>
  <w:num w:numId="4">
    <w:abstractNumId w:val="20"/>
  </w:num>
  <w:num w:numId="5">
    <w:abstractNumId w:val="25"/>
  </w:num>
  <w:num w:numId="6">
    <w:abstractNumId w:val="6"/>
  </w:num>
  <w:num w:numId="7">
    <w:abstractNumId w:val="23"/>
  </w:num>
  <w:num w:numId="8">
    <w:abstractNumId w:val="8"/>
  </w:num>
  <w:num w:numId="9">
    <w:abstractNumId w:val="17"/>
  </w:num>
  <w:num w:numId="10">
    <w:abstractNumId w:val="9"/>
  </w:num>
  <w:num w:numId="11">
    <w:abstractNumId w:val="16"/>
  </w:num>
  <w:num w:numId="12">
    <w:abstractNumId w:val="19"/>
  </w:num>
  <w:num w:numId="13">
    <w:abstractNumId w:val="21"/>
  </w:num>
  <w:num w:numId="14">
    <w:abstractNumId w:val="12"/>
  </w:num>
  <w:num w:numId="15">
    <w:abstractNumId w:val="1"/>
  </w:num>
  <w:num w:numId="16">
    <w:abstractNumId w:val="24"/>
  </w:num>
  <w:num w:numId="17">
    <w:abstractNumId w:val="15"/>
  </w:num>
  <w:num w:numId="18">
    <w:abstractNumId w:val="14"/>
  </w:num>
  <w:num w:numId="19">
    <w:abstractNumId w:val="7"/>
  </w:num>
  <w:num w:numId="20">
    <w:abstractNumId w:val="2"/>
  </w:num>
  <w:num w:numId="21">
    <w:abstractNumId w:val="10"/>
  </w:num>
  <w:num w:numId="22">
    <w:abstractNumId w:val="5"/>
  </w:num>
  <w:num w:numId="23">
    <w:abstractNumId w:val="22"/>
  </w:num>
  <w:num w:numId="24">
    <w:abstractNumId w:val="11"/>
  </w:num>
  <w:num w:numId="25">
    <w:abstractNumId w:val="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04C99"/>
    <w:rsid w:val="00010371"/>
    <w:rsid w:val="00017B02"/>
    <w:rsid w:val="0002049D"/>
    <w:rsid w:val="000264BB"/>
    <w:rsid w:val="00026A9C"/>
    <w:rsid w:val="00033FC1"/>
    <w:rsid w:val="00037E7A"/>
    <w:rsid w:val="00041D8E"/>
    <w:rsid w:val="00042999"/>
    <w:rsid w:val="00046C15"/>
    <w:rsid w:val="00047C8D"/>
    <w:rsid w:val="0005238D"/>
    <w:rsid w:val="0005242A"/>
    <w:rsid w:val="0006359F"/>
    <w:rsid w:val="000807C7"/>
    <w:rsid w:val="0008319F"/>
    <w:rsid w:val="000852A1"/>
    <w:rsid w:val="0008532D"/>
    <w:rsid w:val="00095B0D"/>
    <w:rsid w:val="000968D0"/>
    <w:rsid w:val="000972E6"/>
    <w:rsid w:val="000A0D71"/>
    <w:rsid w:val="000A15B0"/>
    <w:rsid w:val="000A272B"/>
    <w:rsid w:val="000C2C4B"/>
    <w:rsid w:val="000C3EBE"/>
    <w:rsid w:val="000C4C48"/>
    <w:rsid w:val="000C5D4F"/>
    <w:rsid w:val="000D184E"/>
    <w:rsid w:val="000D23FA"/>
    <w:rsid w:val="000D457D"/>
    <w:rsid w:val="000D684C"/>
    <w:rsid w:val="000E01AB"/>
    <w:rsid w:val="000E12CA"/>
    <w:rsid w:val="000E153C"/>
    <w:rsid w:val="000E21AA"/>
    <w:rsid w:val="000E3634"/>
    <w:rsid w:val="000E49F0"/>
    <w:rsid w:val="000E6126"/>
    <w:rsid w:val="00100406"/>
    <w:rsid w:val="00106601"/>
    <w:rsid w:val="00107A8A"/>
    <w:rsid w:val="00111788"/>
    <w:rsid w:val="001160E1"/>
    <w:rsid w:val="00120934"/>
    <w:rsid w:val="00121390"/>
    <w:rsid w:val="00123DB5"/>
    <w:rsid w:val="00125232"/>
    <w:rsid w:val="001263D8"/>
    <w:rsid w:val="0013016C"/>
    <w:rsid w:val="00132B9A"/>
    <w:rsid w:val="001368AE"/>
    <w:rsid w:val="00144CCD"/>
    <w:rsid w:val="0014699B"/>
    <w:rsid w:val="0014739A"/>
    <w:rsid w:val="00150718"/>
    <w:rsid w:val="001520D9"/>
    <w:rsid w:val="0015227C"/>
    <w:rsid w:val="0015490C"/>
    <w:rsid w:val="001573E2"/>
    <w:rsid w:val="0016278D"/>
    <w:rsid w:val="00164E5D"/>
    <w:rsid w:val="0018016A"/>
    <w:rsid w:val="001872CE"/>
    <w:rsid w:val="00190EC6"/>
    <w:rsid w:val="0019168D"/>
    <w:rsid w:val="001937AD"/>
    <w:rsid w:val="00197FCC"/>
    <w:rsid w:val="001A2CB2"/>
    <w:rsid w:val="001A3A84"/>
    <w:rsid w:val="001B6AEC"/>
    <w:rsid w:val="001C610D"/>
    <w:rsid w:val="001D0B84"/>
    <w:rsid w:val="001D132F"/>
    <w:rsid w:val="001E25FF"/>
    <w:rsid w:val="001E28AC"/>
    <w:rsid w:val="001E2D1A"/>
    <w:rsid w:val="001E5E2A"/>
    <w:rsid w:val="001E6B95"/>
    <w:rsid w:val="001E6F4C"/>
    <w:rsid w:val="001F16AA"/>
    <w:rsid w:val="00200F3B"/>
    <w:rsid w:val="00201BC6"/>
    <w:rsid w:val="00203355"/>
    <w:rsid w:val="00203F97"/>
    <w:rsid w:val="0020414E"/>
    <w:rsid w:val="00205696"/>
    <w:rsid w:val="00211005"/>
    <w:rsid w:val="0021309A"/>
    <w:rsid w:val="00215CBB"/>
    <w:rsid w:val="00215FC0"/>
    <w:rsid w:val="00217D41"/>
    <w:rsid w:val="002222A9"/>
    <w:rsid w:val="00222CA6"/>
    <w:rsid w:val="00226060"/>
    <w:rsid w:val="00230AD5"/>
    <w:rsid w:val="00232642"/>
    <w:rsid w:val="00237697"/>
    <w:rsid w:val="002410EA"/>
    <w:rsid w:val="00246194"/>
    <w:rsid w:val="00250EDB"/>
    <w:rsid w:val="002511DF"/>
    <w:rsid w:val="00251CAF"/>
    <w:rsid w:val="00253209"/>
    <w:rsid w:val="00256E10"/>
    <w:rsid w:val="00260413"/>
    <w:rsid w:val="00260EBC"/>
    <w:rsid w:val="00264710"/>
    <w:rsid w:val="00264A6E"/>
    <w:rsid w:val="00264A8A"/>
    <w:rsid w:val="00265301"/>
    <w:rsid w:val="00267567"/>
    <w:rsid w:val="00270B0A"/>
    <w:rsid w:val="00280121"/>
    <w:rsid w:val="00281FBE"/>
    <w:rsid w:val="00290D2E"/>
    <w:rsid w:val="00292715"/>
    <w:rsid w:val="002978D0"/>
    <w:rsid w:val="002A591C"/>
    <w:rsid w:val="002A7B9E"/>
    <w:rsid w:val="002B0BD2"/>
    <w:rsid w:val="002C10E1"/>
    <w:rsid w:val="002C15EB"/>
    <w:rsid w:val="002C1660"/>
    <w:rsid w:val="002C1C5D"/>
    <w:rsid w:val="002C35A2"/>
    <w:rsid w:val="002C5345"/>
    <w:rsid w:val="002D0103"/>
    <w:rsid w:val="002D2BAA"/>
    <w:rsid w:val="002D56B7"/>
    <w:rsid w:val="002D759E"/>
    <w:rsid w:val="002E04B7"/>
    <w:rsid w:val="002E0BAD"/>
    <w:rsid w:val="002E3B00"/>
    <w:rsid w:val="002F1D05"/>
    <w:rsid w:val="002F4A14"/>
    <w:rsid w:val="003043BF"/>
    <w:rsid w:val="003132D0"/>
    <w:rsid w:val="003174CE"/>
    <w:rsid w:val="00320073"/>
    <w:rsid w:val="0032308D"/>
    <w:rsid w:val="003262DF"/>
    <w:rsid w:val="00332951"/>
    <w:rsid w:val="0034682B"/>
    <w:rsid w:val="00346E45"/>
    <w:rsid w:val="0035088E"/>
    <w:rsid w:val="00352854"/>
    <w:rsid w:val="00353C02"/>
    <w:rsid w:val="00356237"/>
    <w:rsid w:val="0036288F"/>
    <w:rsid w:val="0036296A"/>
    <w:rsid w:val="003636AE"/>
    <w:rsid w:val="00364535"/>
    <w:rsid w:val="00365B10"/>
    <w:rsid w:val="003662C0"/>
    <w:rsid w:val="00367B23"/>
    <w:rsid w:val="00367BA7"/>
    <w:rsid w:val="00372082"/>
    <w:rsid w:val="003761C0"/>
    <w:rsid w:val="00381140"/>
    <w:rsid w:val="003812B2"/>
    <w:rsid w:val="00383CDB"/>
    <w:rsid w:val="00383F73"/>
    <w:rsid w:val="00384C8D"/>
    <w:rsid w:val="00384EFD"/>
    <w:rsid w:val="0038595A"/>
    <w:rsid w:val="003879F9"/>
    <w:rsid w:val="003948AA"/>
    <w:rsid w:val="003976C7"/>
    <w:rsid w:val="003A035E"/>
    <w:rsid w:val="003A45DB"/>
    <w:rsid w:val="003A577F"/>
    <w:rsid w:val="003A6DC9"/>
    <w:rsid w:val="003B0285"/>
    <w:rsid w:val="003C04E4"/>
    <w:rsid w:val="003C07E3"/>
    <w:rsid w:val="003C659E"/>
    <w:rsid w:val="003D0A30"/>
    <w:rsid w:val="003D2EF7"/>
    <w:rsid w:val="003D6113"/>
    <w:rsid w:val="003D7780"/>
    <w:rsid w:val="003E13CF"/>
    <w:rsid w:val="003E4F5E"/>
    <w:rsid w:val="003E6BBD"/>
    <w:rsid w:val="003E6C5C"/>
    <w:rsid w:val="003E7939"/>
    <w:rsid w:val="003E7F10"/>
    <w:rsid w:val="003F5344"/>
    <w:rsid w:val="003F7EDC"/>
    <w:rsid w:val="00404548"/>
    <w:rsid w:val="0041162E"/>
    <w:rsid w:val="004125D8"/>
    <w:rsid w:val="00416507"/>
    <w:rsid w:val="004200EA"/>
    <w:rsid w:val="0042786D"/>
    <w:rsid w:val="00433481"/>
    <w:rsid w:val="00433C62"/>
    <w:rsid w:val="00451BFB"/>
    <w:rsid w:val="00452847"/>
    <w:rsid w:val="004528E1"/>
    <w:rsid w:val="00456F01"/>
    <w:rsid w:val="004675E2"/>
    <w:rsid w:val="00471FB0"/>
    <w:rsid w:val="00472EF5"/>
    <w:rsid w:val="00477130"/>
    <w:rsid w:val="0048687C"/>
    <w:rsid w:val="0049318D"/>
    <w:rsid w:val="004A31B4"/>
    <w:rsid w:val="004A4E38"/>
    <w:rsid w:val="004A587B"/>
    <w:rsid w:val="004A7038"/>
    <w:rsid w:val="004B5CBF"/>
    <w:rsid w:val="004C1922"/>
    <w:rsid w:val="004C462F"/>
    <w:rsid w:val="004C6613"/>
    <w:rsid w:val="004D214A"/>
    <w:rsid w:val="004D49E9"/>
    <w:rsid w:val="004E08CA"/>
    <w:rsid w:val="004E7A97"/>
    <w:rsid w:val="004F45AC"/>
    <w:rsid w:val="0050005C"/>
    <w:rsid w:val="00501657"/>
    <w:rsid w:val="00506C9D"/>
    <w:rsid w:val="005071DA"/>
    <w:rsid w:val="00511905"/>
    <w:rsid w:val="00512FB2"/>
    <w:rsid w:val="00523D82"/>
    <w:rsid w:val="00527C36"/>
    <w:rsid w:val="00531848"/>
    <w:rsid w:val="00532F9A"/>
    <w:rsid w:val="00541A00"/>
    <w:rsid w:val="005444B2"/>
    <w:rsid w:val="00547FBC"/>
    <w:rsid w:val="00552F31"/>
    <w:rsid w:val="00552F8B"/>
    <w:rsid w:val="00557770"/>
    <w:rsid w:val="00561FE7"/>
    <w:rsid w:val="00564AA7"/>
    <w:rsid w:val="00566737"/>
    <w:rsid w:val="00567153"/>
    <w:rsid w:val="0057084E"/>
    <w:rsid w:val="00575348"/>
    <w:rsid w:val="00580092"/>
    <w:rsid w:val="005825C4"/>
    <w:rsid w:val="005869C5"/>
    <w:rsid w:val="005921EA"/>
    <w:rsid w:val="005924F5"/>
    <w:rsid w:val="00593F7B"/>
    <w:rsid w:val="005A3C81"/>
    <w:rsid w:val="005A5680"/>
    <w:rsid w:val="005A6639"/>
    <w:rsid w:val="005A6914"/>
    <w:rsid w:val="005A73A8"/>
    <w:rsid w:val="005B3FFE"/>
    <w:rsid w:val="005C1519"/>
    <w:rsid w:val="005C1C4E"/>
    <w:rsid w:val="005C4994"/>
    <w:rsid w:val="005C4A16"/>
    <w:rsid w:val="005C6AF8"/>
    <w:rsid w:val="005C75B8"/>
    <w:rsid w:val="005D1403"/>
    <w:rsid w:val="005D2903"/>
    <w:rsid w:val="005D3444"/>
    <w:rsid w:val="005D66F3"/>
    <w:rsid w:val="005D68C6"/>
    <w:rsid w:val="005D7EE3"/>
    <w:rsid w:val="005E474B"/>
    <w:rsid w:val="005E50DE"/>
    <w:rsid w:val="005E7569"/>
    <w:rsid w:val="005E76DA"/>
    <w:rsid w:val="005F0490"/>
    <w:rsid w:val="005F32E9"/>
    <w:rsid w:val="005F450A"/>
    <w:rsid w:val="005F7097"/>
    <w:rsid w:val="00601E6C"/>
    <w:rsid w:val="0060364A"/>
    <w:rsid w:val="00604FC8"/>
    <w:rsid w:val="00605293"/>
    <w:rsid w:val="00617843"/>
    <w:rsid w:val="00620F34"/>
    <w:rsid w:val="006216FD"/>
    <w:rsid w:val="00622817"/>
    <w:rsid w:val="00624C1B"/>
    <w:rsid w:val="00625471"/>
    <w:rsid w:val="0062661D"/>
    <w:rsid w:val="00627853"/>
    <w:rsid w:val="00632571"/>
    <w:rsid w:val="00634C9D"/>
    <w:rsid w:val="00634D0C"/>
    <w:rsid w:val="006376DD"/>
    <w:rsid w:val="006402CB"/>
    <w:rsid w:val="006427B0"/>
    <w:rsid w:val="0065148D"/>
    <w:rsid w:val="00652BCE"/>
    <w:rsid w:val="00652E29"/>
    <w:rsid w:val="00653617"/>
    <w:rsid w:val="00656266"/>
    <w:rsid w:val="0066223C"/>
    <w:rsid w:val="0067136B"/>
    <w:rsid w:val="00681CCD"/>
    <w:rsid w:val="00681D54"/>
    <w:rsid w:val="00687562"/>
    <w:rsid w:val="00691208"/>
    <w:rsid w:val="006931B2"/>
    <w:rsid w:val="006A23C4"/>
    <w:rsid w:val="006A702E"/>
    <w:rsid w:val="006B1751"/>
    <w:rsid w:val="006B7A90"/>
    <w:rsid w:val="006C175D"/>
    <w:rsid w:val="006C5F38"/>
    <w:rsid w:val="006D5986"/>
    <w:rsid w:val="006D63CA"/>
    <w:rsid w:val="006D7D5A"/>
    <w:rsid w:val="006E4305"/>
    <w:rsid w:val="006E69CA"/>
    <w:rsid w:val="006F4AA9"/>
    <w:rsid w:val="006F5763"/>
    <w:rsid w:val="00703B28"/>
    <w:rsid w:val="00704BAB"/>
    <w:rsid w:val="007074DF"/>
    <w:rsid w:val="007104D1"/>
    <w:rsid w:val="00710EF1"/>
    <w:rsid w:val="0071322D"/>
    <w:rsid w:val="007135A6"/>
    <w:rsid w:val="00724DB0"/>
    <w:rsid w:val="007259EE"/>
    <w:rsid w:val="00725BD2"/>
    <w:rsid w:val="00726BD3"/>
    <w:rsid w:val="00730461"/>
    <w:rsid w:val="00733A73"/>
    <w:rsid w:val="00746FF2"/>
    <w:rsid w:val="007479AE"/>
    <w:rsid w:val="007544F0"/>
    <w:rsid w:val="00761133"/>
    <w:rsid w:val="0076443B"/>
    <w:rsid w:val="00764E84"/>
    <w:rsid w:val="007674E5"/>
    <w:rsid w:val="0077248D"/>
    <w:rsid w:val="00773816"/>
    <w:rsid w:val="007762F8"/>
    <w:rsid w:val="0077794D"/>
    <w:rsid w:val="00783520"/>
    <w:rsid w:val="0078568D"/>
    <w:rsid w:val="00790608"/>
    <w:rsid w:val="007A02D3"/>
    <w:rsid w:val="007A18B1"/>
    <w:rsid w:val="007A2C32"/>
    <w:rsid w:val="007A728C"/>
    <w:rsid w:val="007B011E"/>
    <w:rsid w:val="007B08EB"/>
    <w:rsid w:val="007C055A"/>
    <w:rsid w:val="007C084B"/>
    <w:rsid w:val="007C1693"/>
    <w:rsid w:val="007C6DBB"/>
    <w:rsid w:val="007D0E84"/>
    <w:rsid w:val="007D681B"/>
    <w:rsid w:val="007E1D85"/>
    <w:rsid w:val="007E62BC"/>
    <w:rsid w:val="007E6FA6"/>
    <w:rsid w:val="007F1ED3"/>
    <w:rsid w:val="007F3AE3"/>
    <w:rsid w:val="007F7D06"/>
    <w:rsid w:val="00800D55"/>
    <w:rsid w:val="00803517"/>
    <w:rsid w:val="00804A48"/>
    <w:rsid w:val="008106A7"/>
    <w:rsid w:val="0081154A"/>
    <w:rsid w:val="00814DFC"/>
    <w:rsid w:val="00820B36"/>
    <w:rsid w:val="00827B7A"/>
    <w:rsid w:val="00827BB2"/>
    <w:rsid w:val="008329DA"/>
    <w:rsid w:val="00832A7E"/>
    <w:rsid w:val="008330E7"/>
    <w:rsid w:val="008353A4"/>
    <w:rsid w:val="008407EF"/>
    <w:rsid w:val="0084134A"/>
    <w:rsid w:val="008418F5"/>
    <w:rsid w:val="008440C1"/>
    <w:rsid w:val="008451C8"/>
    <w:rsid w:val="008470F5"/>
    <w:rsid w:val="00847154"/>
    <w:rsid w:val="00850E4A"/>
    <w:rsid w:val="00851C4E"/>
    <w:rsid w:val="00862FA8"/>
    <w:rsid w:val="0086657B"/>
    <w:rsid w:val="0087104B"/>
    <w:rsid w:val="00874D38"/>
    <w:rsid w:val="008832E5"/>
    <w:rsid w:val="008872AB"/>
    <w:rsid w:val="00891EB8"/>
    <w:rsid w:val="0089401D"/>
    <w:rsid w:val="00895628"/>
    <w:rsid w:val="00897669"/>
    <w:rsid w:val="008A35D8"/>
    <w:rsid w:val="008B51D0"/>
    <w:rsid w:val="008B790E"/>
    <w:rsid w:val="008C0181"/>
    <w:rsid w:val="008C2AB4"/>
    <w:rsid w:val="008C2CC6"/>
    <w:rsid w:val="008C6434"/>
    <w:rsid w:val="008D0B8D"/>
    <w:rsid w:val="008D0F01"/>
    <w:rsid w:val="008D4451"/>
    <w:rsid w:val="008D62B7"/>
    <w:rsid w:val="008E19AE"/>
    <w:rsid w:val="008E2063"/>
    <w:rsid w:val="008E6895"/>
    <w:rsid w:val="008F0721"/>
    <w:rsid w:val="008F448D"/>
    <w:rsid w:val="008F5121"/>
    <w:rsid w:val="008F5FD2"/>
    <w:rsid w:val="00900B3C"/>
    <w:rsid w:val="00900CCA"/>
    <w:rsid w:val="00901635"/>
    <w:rsid w:val="00904FB5"/>
    <w:rsid w:val="00907A4C"/>
    <w:rsid w:val="0091136C"/>
    <w:rsid w:val="009128A3"/>
    <w:rsid w:val="00913274"/>
    <w:rsid w:val="009168E4"/>
    <w:rsid w:val="00923329"/>
    <w:rsid w:val="00930D7D"/>
    <w:rsid w:val="009372DB"/>
    <w:rsid w:val="009375C6"/>
    <w:rsid w:val="0094007C"/>
    <w:rsid w:val="00940E48"/>
    <w:rsid w:val="009455DA"/>
    <w:rsid w:val="0095047E"/>
    <w:rsid w:val="00955073"/>
    <w:rsid w:val="00956101"/>
    <w:rsid w:val="00957BAF"/>
    <w:rsid w:val="00962CD6"/>
    <w:rsid w:val="00967790"/>
    <w:rsid w:val="00974EE1"/>
    <w:rsid w:val="009773CB"/>
    <w:rsid w:val="00980CC4"/>
    <w:rsid w:val="00980ED0"/>
    <w:rsid w:val="00985916"/>
    <w:rsid w:val="00986519"/>
    <w:rsid w:val="00986783"/>
    <w:rsid w:val="00993A60"/>
    <w:rsid w:val="00994679"/>
    <w:rsid w:val="00996089"/>
    <w:rsid w:val="009A6739"/>
    <w:rsid w:val="009B014E"/>
    <w:rsid w:val="009B2877"/>
    <w:rsid w:val="009C53B5"/>
    <w:rsid w:val="009D67EC"/>
    <w:rsid w:val="009D71D5"/>
    <w:rsid w:val="009E1BFC"/>
    <w:rsid w:val="009E2724"/>
    <w:rsid w:val="009E2887"/>
    <w:rsid w:val="009E56D6"/>
    <w:rsid w:val="009E5994"/>
    <w:rsid w:val="009E5CB9"/>
    <w:rsid w:val="009F07F5"/>
    <w:rsid w:val="009F22EA"/>
    <w:rsid w:val="009F31F2"/>
    <w:rsid w:val="009F45A5"/>
    <w:rsid w:val="009F5A85"/>
    <w:rsid w:val="009F72B0"/>
    <w:rsid w:val="00A002E9"/>
    <w:rsid w:val="00A0122F"/>
    <w:rsid w:val="00A01C2E"/>
    <w:rsid w:val="00A02BB2"/>
    <w:rsid w:val="00A04052"/>
    <w:rsid w:val="00A063F0"/>
    <w:rsid w:val="00A06EE5"/>
    <w:rsid w:val="00A0709E"/>
    <w:rsid w:val="00A074C5"/>
    <w:rsid w:val="00A07B7D"/>
    <w:rsid w:val="00A12563"/>
    <w:rsid w:val="00A2498C"/>
    <w:rsid w:val="00A26BB4"/>
    <w:rsid w:val="00A27572"/>
    <w:rsid w:val="00A300B9"/>
    <w:rsid w:val="00A3043D"/>
    <w:rsid w:val="00A31019"/>
    <w:rsid w:val="00A720CB"/>
    <w:rsid w:val="00A8360A"/>
    <w:rsid w:val="00A846E7"/>
    <w:rsid w:val="00A84EA1"/>
    <w:rsid w:val="00AA4618"/>
    <w:rsid w:val="00AA5E2F"/>
    <w:rsid w:val="00AA7317"/>
    <w:rsid w:val="00AC2C0B"/>
    <w:rsid w:val="00AC4905"/>
    <w:rsid w:val="00AC49B3"/>
    <w:rsid w:val="00AC767F"/>
    <w:rsid w:val="00AD11FC"/>
    <w:rsid w:val="00AD27F1"/>
    <w:rsid w:val="00AD297B"/>
    <w:rsid w:val="00AD7255"/>
    <w:rsid w:val="00AE4058"/>
    <w:rsid w:val="00AE7922"/>
    <w:rsid w:val="00AF056B"/>
    <w:rsid w:val="00B01011"/>
    <w:rsid w:val="00B04092"/>
    <w:rsid w:val="00B05BD1"/>
    <w:rsid w:val="00B10089"/>
    <w:rsid w:val="00B1276D"/>
    <w:rsid w:val="00B21CF0"/>
    <w:rsid w:val="00B22E50"/>
    <w:rsid w:val="00B23E7B"/>
    <w:rsid w:val="00B24A04"/>
    <w:rsid w:val="00B31C3E"/>
    <w:rsid w:val="00B357C2"/>
    <w:rsid w:val="00B35B74"/>
    <w:rsid w:val="00B364DD"/>
    <w:rsid w:val="00B40CAB"/>
    <w:rsid w:val="00B46F30"/>
    <w:rsid w:val="00B56C94"/>
    <w:rsid w:val="00B608C1"/>
    <w:rsid w:val="00B60D3D"/>
    <w:rsid w:val="00B61AC2"/>
    <w:rsid w:val="00B61D95"/>
    <w:rsid w:val="00B625A8"/>
    <w:rsid w:val="00B634CD"/>
    <w:rsid w:val="00B67AB4"/>
    <w:rsid w:val="00B7231F"/>
    <w:rsid w:val="00B7744D"/>
    <w:rsid w:val="00B776A6"/>
    <w:rsid w:val="00B80C9E"/>
    <w:rsid w:val="00B8154A"/>
    <w:rsid w:val="00B90A1E"/>
    <w:rsid w:val="00B91443"/>
    <w:rsid w:val="00B9187F"/>
    <w:rsid w:val="00B974CA"/>
    <w:rsid w:val="00BA2BF3"/>
    <w:rsid w:val="00BA7054"/>
    <w:rsid w:val="00BA7DF7"/>
    <w:rsid w:val="00BB01F7"/>
    <w:rsid w:val="00BB0563"/>
    <w:rsid w:val="00BB111F"/>
    <w:rsid w:val="00BB3050"/>
    <w:rsid w:val="00BB3232"/>
    <w:rsid w:val="00BB7831"/>
    <w:rsid w:val="00BC31BC"/>
    <w:rsid w:val="00BC461B"/>
    <w:rsid w:val="00BC48CA"/>
    <w:rsid w:val="00BC6167"/>
    <w:rsid w:val="00BC6A01"/>
    <w:rsid w:val="00BD4171"/>
    <w:rsid w:val="00BE032E"/>
    <w:rsid w:val="00BE198F"/>
    <w:rsid w:val="00BE4435"/>
    <w:rsid w:val="00BE49EB"/>
    <w:rsid w:val="00BE6B71"/>
    <w:rsid w:val="00BF48F7"/>
    <w:rsid w:val="00C03A17"/>
    <w:rsid w:val="00C07BB3"/>
    <w:rsid w:val="00C153F2"/>
    <w:rsid w:val="00C2000E"/>
    <w:rsid w:val="00C25C26"/>
    <w:rsid w:val="00C27E76"/>
    <w:rsid w:val="00C3779C"/>
    <w:rsid w:val="00C379C9"/>
    <w:rsid w:val="00C41C44"/>
    <w:rsid w:val="00C422B8"/>
    <w:rsid w:val="00C433EC"/>
    <w:rsid w:val="00C5411D"/>
    <w:rsid w:val="00C566D6"/>
    <w:rsid w:val="00C57A34"/>
    <w:rsid w:val="00C601D5"/>
    <w:rsid w:val="00C71E57"/>
    <w:rsid w:val="00C761E4"/>
    <w:rsid w:val="00C764D9"/>
    <w:rsid w:val="00C77910"/>
    <w:rsid w:val="00C839ED"/>
    <w:rsid w:val="00C83BAA"/>
    <w:rsid w:val="00C84299"/>
    <w:rsid w:val="00C92F14"/>
    <w:rsid w:val="00C94B98"/>
    <w:rsid w:val="00C97365"/>
    <w:rsid w:val="00CA4C1A"/>
    <w:rsid w:val="00CB7B5B"/>
    <w:rsid w:val="00CC08BA"/>
    <w:rsid w:val="00CC330A"/>
    <w:rsid w:val="00CC5727"/>
    <w:rsid w:val="00CC7DBD"/>
    <w:rsid w:val="00CD6524"/>
    <w:rsid w:val="00CD6935"/>
    <w:rsid w:val="00CE03ED"/>
    <w:rsid w:val="00CE2736"/>
    <w:rsid w:val="00CE6EED"/>
    <w:rsid w:val="00CE7F7F"/>
    <w:rsid w:val="00CF1D75"/>
    <w:rsid w:val="00CF3849"/>
    <w:rsid w:val="00D00E35"/>
    <w:rsid w:val="00D01002"/>
    <w:rsid w:val="00D015B5"/>
    <w:rsid w:val="00D0233C"/>
    <w:rsid w:val="00D03A39"/>
    <w:rsid w:val="00D041C3"/>
    <w:rsid w:val="00D11462"/>
    <w:rsid w:val="00D14D61"/>
    <w:rsid w:val="00D22A47"/>
    <w:rsid w:val="00D22E3F"/>
    <w:rsid w:val="00D25CB4"/>
    <w:rsid w:val="00D275FC"/>
    <w:rsid w:val="00D27804"/>
    <w:rsid w:val="00D3279D"/>
    <w:rsid w:val="00D3576E"/>
    <w:rsid w:val="00D43297"/>
    <w:rsid w:val="00D46893"/>
    <w:rsid w:val="00D46B0B"/>
    <w:rsid w:val="00D47D94"/>
    <w:rsid w:val="00D51654"/>
    <w:rsid w:val="00D55ED8"/>
    <w:rsid w:val="00D56533"/>
    <w:rsid w:val="00D6089F"/>
    <w:rsid w:val="00D60C5A"/>
    <w:rsid w:val="00D70DB6"/>
    <w:rsid w:val="00D723BC"/>
    <w:rsid w:val="00D731C9"/>
    <w:rsid w:val="00D76048"/>
    <w:rsid w:val="00D849D5"/>
    <w:rsid w:val="00D93C80"/>
    <w:rsid w:val="00D9686A"/>
    <w:rsid w:val="00D96A8F"/>
    <w:rsid w:val="00DA16F7"/>
    <w:rsid w:val="00DA5E40"/>
    <w:rsid w:val="00DA7E73"/>
    <w:rsid w:val="00DB07DF"/>
    <w:rsid w:val="00DB406A"/>
    <w:rsid w:val="00DB5FEE"/>
    <w:rsid w:val="00DB7FB0"/>
    <w:rsid w:val="00DC341B"/>
    <w:rsid w:val="00DC4D42"/>
    <w:rsid w:val="00DC6ADA"/>
    <w:rsid w:val="00DD5E3A"/>
    <w:rsid w:val="00DE2DF2"/>
    <w:rsid w:val="00DE4FC7"/>
    <w:rsid w:val="00DF11A7"/>
    <w:rsid w:val="00DF14B9"/>
    <w:rsid w:val="00DF3140"/>
    <w:rsid w:val="00DF3381"/>
    <w:rsid w:val="00DF47EB"/>
    <w:rsid w:val="00E03B0C"/>
    <w:rsid w:val="00E142AA"/>
    <w:rsid w:val="00E16979"/>
    <w:rsid w:val="00E211ED"/>
    <w:rsid w:val="00E260D6"/>
    <w:rsid w:val="00E271CB"/>
    <w:rsid w:val="00E301D0"/>
    <w:rsid w:val="00E317B2"/>
    <w:rsid w:val="00E33FE3"/>
    <w:rsid w:val="00E34FE3"/>
    <w:rsid w:val="00E42A99"/>
    <w:rsid w:val="00E4588B"/>
    <w:rsid w:val="00E45904"/>
    <w:rsid w:val="00E54054"/>
    <w:rsid w:val="00E55D6C"/>
    <w:rsid w:val="00E57396"/>
    <w:rsid w:val="00E62068"/>
    <w:rsid w:val="00E6747E"/>
    <w:rsid w:val="00E75FFF"/>
    <w:rsid w:val="00E76600"/>
    <w:rsid w:val="00E81A1B"/>
    <w:rsid w:val="00E81A86"/>
    <w:rsid w:val="00E85A7A"/>
    <w:rsid w:val="00E8607B"/>
    <w:rsid w:val="00E91073"/>
    <w:rsid w:val="00E93583"/>
    <w:rsid w:val="00E96BB3"/>
    <w:rsid w:val="00EA2F86"/>
    <w:rsid w:val="00EA303C"/>
    <w:rsid w:val="00EA6D39"/>
    <w:rsid w:val="00EB1D97"/>
    <w:rsid w:val="00EB32A3"/>
    <w:rsid w:val="00EB41C1"/>
    <w:rsid w:val="00EC480E"/>
    <w:rsid w:val="00EC4E42"/>
    <w:rsid w:val="00ED1386"/>
    <w:rsid w:val="00ED34A3"/>
    <w:rsid w:val="00ED7522"/>
    <w:rsid w:val="00EE04FB"/>
    <w:rsid w:val="00EF3EDF"/>
    <w:rsid w:val="00EF4C53"/>
    <w:rsid w:val="00F006F1"/>
    <w:rsid w:val="00F03722"/>
    <w:rsid w:val="00F05540"/>
    <w:rsid w:val="00F07B7B"/>
    <w:rsid w:val="00F10E00"/>
    <w:rsid w:val="00F23B95"/>
    <w:rsid w:val="00F3211D"/>
    <w:rsid w:val="00F33F71"/>
    <w:rsid w:val="00F34699"/>
    <w:rsid w:val="00F40388"/>
    <w:rsid w:val="00F42D3C"/>
    <w:rsid w:val="00F4388A"/>
    <w:rsid w:val="00F45580"/>
    <w:rsid w:val="00F46E51"/>
    <w:rsid w:val="00F54640"/>
    <w:rsid w:val="00F5678A"/>
    <w:rsid w:val="00F56F75"/>
    <w:rsid w:val="00F6012B"/>
    <w:rsid w:val="00F63389"/>
    <w:rsid w:val="00F665E0"/>
    <w:rsid w:val="00F902DD"/>
    <w:rsid w:val="00F91977"/>
    <w:rsid w:val="00F96443"/>
    <w:rsid w:val="00F97B57"/>
    <w:rsid w:val="00F97CB9"/>
    <w:rsid w:val="00FA4F7C"/>
    <w:rsid w:val="00FB0456"/>
    <w:rsid w:val="00FB47F4"/>
    <w:rsid w:val="00FC02BF"/>
    <w:rsid w:val="00FC0DEC"/>
    <w:rsid w:val="00FC17F4"/>
    <w:rsid w:val="00FD2B12"/>
    <w:rsid w:val="00FD2B9F"/>
    <w:rsid w:val="00FD5C2C"/>
    <w:rsid w:val="00FD6FA9"/>
    <w:rsid w:val="00FE2FB4"/>
    <w:rsid w:val="00FF13F4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F923F"/>
  <w15:docId w15:val="{EE3CD531-847C-47F2-B353-6180FA59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/>
      <w:sz w:val="20"/>
      <w:szCs w:val="20"/>
      <w:lang w:val="x-none" w:eastAsia="x-none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E2724"/>
    <w:pPr>
      <w:spacing w:after="200"/>
    </w:pPr>
    <w:rPr>
      <w:rFonts w:ascii="Calibri" w:eastAsia="Calibri" w:hAnsi="Calibri" w:cs="Times New Roman"/>
      <w:b/>
      <w:bCs/>
      <w:lang w:val="ru-RU" w:eastAsia="en-US" w:bidi="ar-SA"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9E2724"/>
    <w:rPr>
      <w:rFonts w:ascii="Times New Roman" w:eastAsia="Times New Roman" w:hAnsi="Times New Roman" w:cs="Arial Unicode MS"/>
      <w:b/>
      <w:bCs/>
      <w:lang w:val="en-GB" w:eastAsia="en-US" w:bidi="ml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dda.k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15A27-C2FF-4247-B8E2-BD5FD17E7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4402</Words>
  <Characters>25093</Characters>
  <Application>Microsoft Office Word</Application>
  <DocSecurity>0</DocSecurity>
  <Lines>209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29437</CharactersWithSpaces>
  <SharedDoc>false</SharedDoc>
  <HLinks>
    <vt:vector size="18" baseType="variant">
      <vt:variant>
        <vt:i4>7667774</vt:i4>
      </vt:variant>
      <vt:variant>
        <vt:i4>6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8323159</vt:i4>
      </vt:variant>
      <vt:variant>
        <vt:i4>3</vt:i4>
      </vt:variant>
      <vt:variant>
        <vt:i4>0</vt:i4>
      </vt:variant>
      <vt:variant>
        <vt:i4>5</vt:i4>
      </vt:variant>
      <vt:variant>
        <vt:lpwstr>mailto:safety@regicompany.com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Praveen Kanumuru</cp:lastModifiedBy>
  <cp:revision>3</cp:revision>
  <cp:lastPrinted>2019-11-18T06:17:00Z</cp:lastPrinted>
  <dcterms:created xsi:type="dcterms:W3CDTF">2022-01-10T04:13:00Z</dcterms:created>
  <dcterms:modified xsi:type="dcterms:W3CDTF">2025-06-10T07:23:00Z</dcterms:modified>
</cp:coreProperties>
</file>